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966FA9" w:rsidRPr="00C971F3" w:rsidRDefault="00B96437">
      <w:pPr>
        <w:rPr>
          <w:b/>
          <w:bCs/>
          <w:sz w:val="28"/>
          <w:szCs w:val="32"/>
        </w:rPr>
      </w:pPr>
      <w:bookmarkStart w:id="0" w:name="_GoBack"/>
      <w:bookmarkEnd w:id="0"/>
      <w:r w:rsidRPr="00C971F3">
        <w:rPr>
          <w:rFonts w:hint="eastAsia"/>
          <w:b/>
          <w:bCs/>
          <w:sz w:val="28"/>
          <w:szCs w:val="32"/>
        </w:rPr>
        <w:t>付属</w:t>
      </w:r>
      <w:r w:rsidR="00966FA9" w:rsidRPr="00C971F3">
        <w:rPr>
          <w:rFonts w:hint="eastAsia"/>
          <w:b/>
          <w:bCs/>
          <w:sz w:val="28"/>
          <w:szCs w:val="32"/>
        </w:rPr>
        <w:t>資料</w:t>
      </w:r>
      <w:r w:rsidR="00C971F3" w:rsidRPr="00C971F3">
        <w:rPr>
          <w:rFonts w:hint="eastAsia"/>
          <w:b/>
          <w:bCs/>
          <w:sz w:val="28"/>
          <w:szCs w:val="32"/>
        </w:rPr>
        <w:t>①</w:t>
      </w:r>
    </w:p>
    <w:p w:rsidR="00966FA9" w:rsidRPr="00C971F3" w:rsidRDefault="00C971F3" w:rsidP="00C971F3">
      <w:pPr>
        <w:rPr>
          <w:b/>
          <w:bCs/>
          <w:u w:val="single"/>
        </w:rPr>
      </w:pPr>
      <w:r w:rsidRPr="00C971F3">
        <w:rPr>
          <w:rFonts w:hint="eastAsia"/>
          <w:b/>
          <w:bCs/>
          <w:u w:val="single"/>
        </w:rPr>
        <w:t>その他の</w:t>
      </w:r>
      <w:r w:rsidR="00966FA9" w:rsidRPr="00C971F3">
        <w:rPr>
          <w:rFonts w:hint="eastAsia"/>
          <w:b/>
          <w:bCs/>
          <w:u w:val="single"/>
        </w:rPr>
        <w:t>先行研究</w:t>
      </w:r>
    </w:p>
    <w:p w:rsidR="0086104A" w:rsidRPr="006556EE" w:rsidRDefault="006556EE">
      <w:pPr>
        <w:rPr>
          <w:szCs w:val="21"/>
          <w:u w:val="single"/>
        </w:rPr>
      </w:pPr>
      <w:r w:rsidRPr="006556EE">
        <w:rPr>
          <w:rFonts w:hint="eastAsia"/>
          <w:u w:val="single"/>
        </w:rPr>
        <w:t xml:space="preserve"> </w:t>
      </w:r>
      <w:r w:rsidR="00966FA9" w:rsidRPr="006556EE">
        <w:rPr>
          <w:rFonts w:hint="eastAsia"/>
          <w:u w:val="single"/>
        </w:rPr>
        <w:t>消費者の性別と支援先</w:t>
      </w:r>
      <w:r w:rsidR="0086104A" w:rsidRPr="006556EE">
        <w:rPr>
          <w:rFonts w:hint="eastAsia"/>
          <w:u w:val="single"/>
        </w:rPr>
        <w:t>コーズ</w:t>
      </w:r>
      <w:r w:rsidR="00966FA9" w:rsidRPr="006556EE">
        <w:rPr>
          <w:rFonts w:hint="eastAsia"/>
          <w:u w:val="single"/>
        </w:rPr>
        <w:t>の地域性</w:t>
      </w:r>
      <w:r w:rsidR="0086104A" w:rsidRPr="006556EE">
        <w:rPr>
          <w:rFonts w:hint="eastAsia"/>
          <w:u w:val="single"/>
        </w:rPr>
        <w:t>が消費者の企業</w:t>
      </w:r>
      <w:r w:rsidR="00EE2F33" w:rsidRPr="006556EE">
        <w:rPr>
          <w:rFonts w:hint="eastAsia"/>
          <w:u w:val="single"/>
        </w:rPr>
        <w:t>と支援先コーズに対する態度への影響について研究</w:t>
      </w:r>
      <w:r w:rsidR="00921B6A" w:rsidRPr="006556EE">
        <w:rPr>
          <w:rFonts w:hint="eastAsia"/>
          <w:u w:val="single"/>
        </w:rPr>
        <w:t>（米、</w:t>
      </w:r>
      <w:r w:rsidR="0086104A" w:rsidRPr="006556EE">
        <w:rPr>
          <w:rFonts w:hint="eastAsia"/>
          <w:u w:val="single"/>
        </w:rPr>
        <w:t>18</w:t>
      </w:r>
      <w:r w:rsidR="0086104A" w:rsidRPr="006556EE">
        <w:rPr>
          <w:rFonts w:hint="eastAsia"/>
          <w:u w:val="single"/>
        </w:rPr>
        <w:t>歳以上</w:t>
      </w:r>
      <w:r w:rsidR="0086104A" w:rsidRPr="006556EE">
        <w:rPr>
          <w:rFonts w:hint="eastAsia"/>
          <w:u w:val="single"/>
        </w:rPr>
        <w:t>238</w:t>
      </w:r>
      <w:r w:rsidR="0086104A" w:rsidRPr="006556EE">
        <w:rPr>
          <w:rFonts w:hint="eastAsia"/>
          <w:u w:val="single"/>
        </w:rPr>
        <w:t>人）</w:t>
      </w:r>
    </w:p>
    <w:p w:rsidR="00025CBD" w:rsidRDefault="006556EE" w:rsidP="003B04AC">
      <w:pPr>
        <w:ind w:leftChars="150" w:left="315"/>
      </w:pPr>
      <w:r>
        <w:rPr>
          <w:rFonts w:hint="eastAsia"/>
        </w:rPr>
        <w:t xml:space="preserve">Ross, </w:t>
      </w:r>
      <w:r w:rsidR="006C1A17">
        <w:rPr>
          <w:rFonts w:hint="eastAsia"/>
        </w:rPr>
        <w:t xml:space="preserve">J.K., Patterson, L.T. and </w:t>
      </w:r>
      <w:proofErr w:type="spellStart"/>
      <w:r w:rsidR="006C1A17">
        <w:rPr>
          <w:rFonts w:hint="eastAsia"/>
        </w:rPr>
        <w:t>Stutts</w:t>
      </w:r>
      <w:proofErr w:type="spellEnd"/>
      <w:r w:rsidR="006C1A17">
        <w:rPr>
          <w:rFonts w:hint="eastAsia"/>
        </w:rPr>
        <w:t xml:space="preserve">, M.A. </w:t>
      </w:r>
      <w:r>
        <w:rPr>
          <w:rFonts w:hint="eastAsia"/>
        </w:rPr>
        <w:t>(1992)</w:t>
      </w:r>
      <w:r w:rsidR="006C1A17">
        <w:rPr>
          <w:rFonts w:hint="eastAsia"/>
        </w:rPr>
        <w:t xml:space="preserve">　</w:t>
      </w:r>
      <w:r w:rsidR="003B04AC">
        <w:t>“</w:t>
      </w:r>
      <w:r w:rsidR="003B04AC">
        <w:rPr>
          <w:rFonts w:hint="eastAsia"/>
        </w:rPr>
        <w:t xml:space="preserve">Consumer </w:t>
      </w:r>
      <w:proofErr w:type="spellStart"/>
      <w:r w:rsidR="003B04AC">
        <w:rPr>
          <w:rFonts w:hint="eastAsia"/>
        </w:rPr>
        <w:t>Preceptions</w:t>
      </w:r>
      <w:proofErr w:type="spellEnd"/>
      <w:r w:rsidR="003B04AC">
        <w:rPr>
          <w:rFonts w:hint="eastAsia"/>
        </w:rPr>
        <w:t xml:space="preserve"> of Organizations That Use Cause-Related Marketing,</w:t>
      </w:r>
      <w:r w:rsidR="003B04AC">
        <w:t>”</w:t>
      </w:r>
      <w:r w:rsidR="003B04AC">
        <w:rPr>
          <w:rFonts w:hint="eastAsia"/>
        </w:rPr>
        <w:t xml:space="preserve"> </w:t>
      </w:r>
    </w:p>
    <w:p w:rsidR="006556EE" w:rsidRDefault="003B04AC" w:rsidP="003B04AC">
      <w:pPr>
        <w:ind w:leftChars="150" w:left="315"/>
      </w:pPr>
      <w:r>
        <w:rPr>
          <w:rFonts w:hint="eastAsia"/>
        </w:rPr>
        <w:t>Journal of Academy of Marketing Science, Vol.20, No.1, pp.93-97.</w:t>
      </w:r>
    </w:p>
    <w:p w:rsidR="0086104A" w:rsidRDefault="0086104A" w:rsidP="006556EE">
      <w:r>
        <w:rPr>
          <w:rFonts w:hint="eastAsia"/>
        </w:rPr>
        <w:t>⇒結果：消費者はコーズに支援する企業に対して好意的</w:t>
      </w:r>
    </w:p>
    <w:p w:rsidR="00A15D04" w:rsidRDefault="00BE0DA7">
      <w:r>
        <w:rPr>
          <w:noProof/>
          <w:lang w:bidi="th-TH"/>
        </w:rPr>
        <w:pict>
          <v:shapetype id="_x0000_t85" coordsize="21600,21600" o:spt="85" adj="1800" path="m2160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0;text-align:left;margin-left:599.95pt;margin-top:-.3pt;width:9.75pt;height:34.5pt;flip:x y;z-index:251659264">
            <v:textbox inset="5.85pt,.7pt,5.85pt,.7pt"/>
          </v:shape>
        </w:pict>
      </w:r>
      <w:r>
        <w:rPr>
          <w:noProof/>
          <w:lang w:bidi="th-TH"/>
        </w:rPr>
        <w:pict>
          <v:shape id="_x0000_s1026" type="#_x0000_t85" style="position:absolute;left:0;text-align:left;margin-left:43.05pt;margin-top:-.3pt;width:7.15pt;height:36pt;z-index:251658240">
            <v:textbox inset="5.85pt,.7pt,5.85pt,.7pt"/>
          </v:shape>
        </w:pict>
      </w:r>
      <w:r w:rsidR="0086104A">
        <w:rPr>
          <w:rFonts w:hint="eastAsia"/>
        </w:rPr>
        <w:t xml:space="preserve">　　　　</w:t>
      </w:r>
      <w:r w:rsidR="00A15D04">
        <w:rPr>
          <w:rFonts w:hint="eastAsia"/>
        </w:rPr>
        <w:t xml:space="preserve">　</w:t>
      </w:r>
      <w:r w:rsidR="0086104A">
        <w:rPr>
          <w:rFonts w:hint="eastAsia"/>
        </w:rPr>
        <w:t>地元範囲の支援先を選んだ方が全国的に展開している支援先を選ぶより好影響・</w:t>
      </w:r>
    </w:p>
    <w:p w:rsidR="0086104A" w:rsidRDefault="0086104A" w:rsidP="00A15D04">
      <w:pPr>
        <w:ind w:firstLineChars="500" w:firstLine="1050"/>
      </w:pPr>
      <w:r>
        <w:rPr>
          <w:rFonts w:hint="eastAsia"/>
        </w:rPr>
        <w:t>女性の方が男性よりも</w:t>
      </w:r>
      <w:r>
        <w:rPr>
          <w:rFonts w:hint="eastAsia"/>
        </w:rPr>
        <w:t>CRM</w:t>
      </w:r>
      <w:r>
        <w:rPr>
          <w:rFonts w:hint="eastAsia"/>
        </w:rPr>
        <w:t>に対し高い評価をした・子供のいる人の方が、子供のいない人より</w:t>
      </w:r>
      <w:r>
        <w:rPr>
          <w:rFonts w:hint="eastAsia"/>
        </w:rPr>
        <w:t>CRM</w:t>
      </w:r>
      <w:r>
        <w:rPr>
          <w:rFonts w:hint="eastAsia"/>
        </w:rPr>
        <w:t>に対して</w:t>
      </w:r>
      <w:r w:rsidR="00A15D04">
        <w:rPr>
          <w:rFonts w:hint="eastAsia"/>
        </w:rPr>
        <w:t>好意的</w:t>
      </w:r>
    </w:p>
    <w:p w:rsidR="006556EE" w:rsidRDefault="006556EE" w:rsidP="00A15D04"/>
    <w:p w:rsidR="003B04AC" w:rsidRDefault="00A15D04" w:rsidP="006556EE">
      <w:r w:rsidRPr="006556EE">
        <w:rPr>
          <w:rFonts w:hint="eastAsia"/>
          <w:u w:val="single"/>
        </w:rPr>
        <w:t>CRM</w:t>
      </w:r>
      <w:r w:rsidR="00EE2F33" w:rsidRPr="006556EE">
        <w:rPr>
          <w:rFonts w:hint="eastAsia"/>
          <w:u w:val="single"/>
        </w:rPr>
        <w:t>キャンペーンへの評価へ影響を与える４要因についての研究</w:t>
      </w:r>
      <w:r w:rsidR="006556EE">
        <w:rPr>
          <w:rFonts w:hint="eastAsia"/>
          <w:u w:val="single"/>
        </w:rPr>
        <w:t xml:space="preserve"> </w:t>
      </w:r>
    </w:p>
    <w:p w:rsidR="003B04AC" w:rsidRDefault="006556EE" w:rsidP="003B04AC">
      <w:pPr>
        <w:ind w:firstLineChars="200" w:firstLine="420"/>
      </w:pPr>
      <w:r>
        <w:rPr>
          <w:rFonts w:hint="eastAsia"/>
        </w:rPr>
        <w:t>Ellen,</w:t>
      </w:r>
      <w:r w:rsidR="003B04AC">
        <w:rPr>
          <w:rFonts w:hint="eastAsia"/>
        </w:rPr>
        <w:t xml:space="preserve"> P.S., </w:t>
      </w:r>
      <w:proofErr w:type="spellStart"/>
      <w:r w:rsidR="003B04AC">
        <w:rPr>
          <w:rFonts w:hint="eastAsia"/>
        </w:rPr>
        <w:t>Mohr,L.A</w:t>
      </w:r>
      <w:proofErr w:type="spellEnd"/>
      <w:r w:rsidR="003B04AC">
        <w:rPr>
          <w:rFonts w:hint="eastAsia"/>
        </w:rPr>
        <w:t>. and Webb, D.J.</w:t>
      </w:r>
      <w:r>
        <w:rPr>
          <w:rFonts w:hint="eastAsia"/>
        </w:rPr>
        <w:t>(2000)</w:t>
      </w:r>
      <w:r w:rsidR="003B04AC">
        <w:rPr>
          <w:rFonts w:hint="eastAsia"/>
        </w:rPr>
        <w:t xml:space="preserve"> </w:t>
      </w:r>
    </w:p>
    <w:p w:rsidR="006556EE" w:rsidRPr="006556EE" w:rsidRDefault="003B04AC" w:rsidP="003B04AC">
      <w:pPr>
        <w:ind w:firstLineChars="200" w:firstLine="420"/>
        <w:rPr>
          <w:u w:val="single"/>
        </w:rPr>
      </w:pPr>
      <w:r>
        <w:t>“</w:t>
      </w:r>
      <w:r>
        <w:rPr>
          <w:rFonts w:hint="eastAsia"/>
        </w:rPr>
        <w:t>Charitable Programs and Retailer: Do They Mix?</w:t>
      </w:r>
      <w:r>
        <w:t>”</w:t>
      </w:r>
      <w:r>
        <w:rPr>
          <w:rFonts w:hint="eastAsia"/>
        </w:rPr>
        <w:t xml:space="preserve"> Journal of Retailing, Vol.76, No.3, pp.393-406.</w:t>
      </w:r>
    </w:p>
    <w:p w:rsidR="00A15D04" w:rsidRDefault="00A15D04" w:rsidP="00A15D04">
      <w:r>
        <w:rPr>
          <w:rFonts w:hint="eastAsia"/>
        </w:rPr>
        <w:t>要因①寄付状況</w:t>
      </w:r>
      <w:r w:rsidR="00902551">
        <w:rPr>
          <w:rFonts w:hint="eastAsia"/>
        </w:rPr>
        <w:t>（「天災」の場合と、「進行しているコーズ」の場合）</w:t>
      </w:r>
    </w:p>
    <w:p w:rsidR="00A15D04" w:rsidRDefault="00A15D04" w:rsidP="00A15D04">
      <w:r>
        <w:rPr>
          <w:rFonts w:hint="eastAsia"/>
        </w:rPr>
        <w:t>要因②企業のコアビジネスとコーズへの提供物の一致度</w:t>
      </w:r>
    </w:p>
    <w:p w:rsidR="00A15D04" w:rsidRDefault="00A15D04" w:rsidP="00A15D04">
      <w:r>
        <w:rPr>
          <w:rFonts w:hint="eastAsia"/>
        </w:rPr>
        <w:t>要因③コーズへの寄付形態</w:t>
      </w:r>
      <w:r w:rsidR="000C041C">
        <w:rPr>
          <w:rFonts w:hint="eastAsia"/>
        </w:rPr>
        <w:t>（「現金」を寄付する場合と「もの」を寄付する場合）</w:t>
      </w:r>
    </w:p>
    <w:p w:rsidR="000C041C" w:rsidRPr="000C041C" w:rsidRDefault="00A15D04" w:rsidP="00A15D04">
      <w:pPr>
        <w:rPr>
          <w:sz w:val="20"/>
          <w:szCs w:val="21"/>
        </w:rPr>
      </w:pPr>
      <w:r>
        <w:rPr>
          <w:rFonts w:hint="eastAsia"/>
        </w:rPr>
        <w:t>要因④企業のコーズに対するコミットメント</w:t>
      </w:r>
      <w:r w:rsidR="000C041C" w:rsidRPr="000C041C">
        <w:rPr>
          <w:rFonts w:hint="eastAsia"/>
          <w:sz w:val="20"/>
          <w:szCs w:val="21"/>
        </w:rPr>
        <w:t>（「消費者から寄付を集めて提供する」場合と「集めた金額と同額を企業が上乗せして提供する」場合）</w:t>
      </w:r>
    </w:p>
    <w:p w:rsidR="00A15D04" w:rsidRDefault="00902551" w:rsidP="00902551">
      <w:pPr>
        <w:ind w:firstLineChars="100" w:firstLine="210"/>
      </w:pPr>
      <w:r>
        <w:rPr>
          <w:rFonts w:hint="eastAsia"/>
        </w:rPr>
        <w:t>⇒結果①：天災時に援助を行う方が、進行しているコーズを支援しているより、より好意的に受け取られる</w:t>
      </w:r>
    </w:p>
    <w:p w:rsidR="00902551" w:rsidRDefault="00902551" w:rsidP="00902551">
      <w:pPr>
        <w:ind w:firstLineChars="100" w:firstLine="210"/>
      </w:pPr>
      <w:r>
        <w:rPr>
          <w:rFonts w:hint="eastAsia"/>
        </w:rPr>
        <w:t>⇒結果②：「企業のコアビジネス」と「コーズへの提供物」との一致度</w:t>
      </w:r>
      <w:r w:rsidR="000C041C">
        <w:rPr>
          <w:rFonts w:hint="eastAsia"/>
        </w:rPr>
        <w:t>が低いほど、利他的とみられる</w:t>
      </w:r>
    </w:p>
    <w:p w:rsidR="000C041C" w:rsidRDefault="000C041C" w:rsidP="00902551">
      <w:pPr>
        <w:ind w:firstLineChars="100" w:firstLine="210"/>
      </w:pPr>
      <w:r>
        <w:rPr>
          <w:rFonts w:hint="eastAsia"/>
        </w:rPr>
        <w:t>⇒結果③：ものを寄付した場合の方が、現金を寄付するよりも努力を要するため、利他的である</w:t>
      </w:r>
    </w:p>
    <w:p w:rsidR="00B23E95" w:rsidRDefault="000C041C" w:rsidP="00B23E95">
      <w:pPr>
        <w:ind w:firstLineChars="100" w:firstLine="210"/>
      </w:pPr>
      <w:r>
        <w:rPr>
          <w:rFonts w:hint="eastAsia"/>
        </w:rPr>
        <w:t>⇒結果④：</w:t>
      </w:r>
      <w:r w:rsidR="00B23E95">
        <w:rPr>
          <w:rFonts w:hint="eastAsia"/>
        </w:rPr>
        <w:t>企業が同額を上乗せしたとしても、消費者の評価には統計的に有意な違いが見られなかった</w:t>
      </w:r>
    </w:p>
    <w:p w:rsidR="00EE2F33" w:rsidRDefault="00EE2F33" w:rsidP="00B23E95">
      <w:pPr>
        <w:ind w:firstLineChars="100" w:firstLine="210"/>
      </w:pPr>
    </w:p>
    <w:p w:rsidR="003B04AC" w:rsidRDefault="00377B2A" w:rsidP="006B123F">
      <w:r w:rsidRPr="006B123F">
        <w:rPr>
          <w:rFonts w:hint="eastAsia"/>
          <w:u w:val="single"/>
        </w:rPr>
        <w:t>CRM</w:t>
      </w:r>
      <w:r w:rsidRPr="006B123F">
        <w:rPr>
          <w:rFonts w:hint="eastAsia"/>
          <w:u w:val="single"/>
        </w:rPr>
        <w:t>活動に対する消費者の知覚と関与度に関する</w:t>
      </w:r>
      <w:r w:rsidR="00EE2F33" w:rsidRPr="006B123F">
        <w:rPr>
          <w:rFonts w:hint="eastAsia"/>
          <w:u w:val="single"/>
        </w:rPr>
        <w:t>研究</w:t>
      </w:r>
      <w:r w:rsidR="006B123F">
        <w:rPr>
          <w:rFonts w:hint="eastAsia"/>
        </w:rPr>
        <w:t xml:space="preserve"> </w:t>
      </w:r>
    </w:p>
    <w:p w:rsidR="00025CBD" w:rsidRDefault="006B123F" w:rsidP="003B04AC">
      <w:pPr>
        <w:ind w:firstLineChars="250" w:firstLine="525"/>
      </w:pPr>
      <w:r>
        <w:rPr>
          <w:rFonts w:hint="eastAsia"/>
        </w:rPr>
        <w:t xml:space="preserve">Broderick, </w:t>
      </w:r>
      <w:r w:rsidR="003B04AC">
        <w:rPr>
          <w:rFonts w:hint="eastAsia"/>
        </w:rPr>
        <w:t xml:space="preserve">A., </w:t>
      </w:r>
      <w:proofErr w:type="spellStart"/>
      <w:r>
        <w:rPr>
          <w:rFonts w:hint="eastAsia"/>
        </w:rPr>
        <w:t>Jogi</w:t>
      </w:r>
      <w:proofErr w:type="spellEnd"/>
      <w:r w:rsidR="003B04AC">
        <w:rPr>
          <w:rFonts w:hint="eastAsia"/>
        </w:rPr>
        <w:t xml:space="preserve"> A., and Garry T. </w:t>
      </w:r>
      <w:r>
        <w:rPr>
          <w:rFonts w:hint="eastAsia"/>
        </w:rPr>
        <w:t>(2003)</w:t>
      </w:r>
      <w:r w:rsidR="003B04AC">
        <w:rPr>
          <w:rFonts w:hint="eastAsia"/>
        </w:rPr>
        <w:t xml:space="preserve"> </w:t>
      </w:r>
      <w:r w:rsidR="00025CBD">
        <w:t>“</w:t>
      </w:r>
      <w:r w:rsidR="00025CBD">
        <w:rPr>
          <w:rFonts w:hint="eastAsia"/>
        </w:rPr>
        <w:t xml:space="preserve">Tickled </w:t>
      </w:r>
      <w:proofErr w:type="spellStart"/>
      <w:r w:rsidR="00025CBD">
        <w:rPr>
          <w:rFonts w:hint="eastAsia"/>
        </w:rPr>
        <w:t>Pnk</w:t>
      </w:r>
      <w:proofErr w:type="spellEnd"/>
      <w:r w:rsidR="00025CBD">
        <w:rPr>
          <w:rFonts w:hint="eastAsia"/>
        </w:rPr>
        <w:t>: The Personal Meaning of Cause Related Marketing for Customers,</w:t>
      </w:r>
      <w:r w:rsidR="00025CBD">
        <w:t>”</w:t>
      </w:r>
      <w:r w:rsidR="00025CBD">
        <w:rPr>
          <w:rFonts w:hint="eastAsia"/>
        </w:rPr>
        <w:t xml:space="preserve"> </w:t>
      </w:r>
    </w:p>
    <w:p w:rsidR="006B123F" w:rsidRDefault="00025CBD" w:rsidP="003B04AC">
      <w:pPr>
        <w:ind w:firstLineChars="250" w:firstLine="525"/>
      </w:pPr>
      <w:r>
        <w:rPr>
          <w:rFonts w:hint="eastAsia"/>
        </w:rPr>
        <w:t>Journal of Marketing Management, Vol.19, pp.583-610.</w:t>
      </w:r>
    </w:p>
    <w:p w:rsidR="00377B2A" w:rsidRDefault="00377B2A" w:rsidP="00377B2A">
      <w:r>
        <w:rPr>
          <w:rFonts w:hint="eastAsia"/>
        </w:rPr>
        <w:t>⇒結果：支援先</w:t>
      </w:r>
      <w:r w:rsidR="0003634E">
        <w:rPr>
          <w:rFonts w:hint="eastAsia"/>
        </w:rPr>
        <w:t>コーズ</w:t>
      </w:r>
      <w:r>
        <w:rPr>
          <w:rFonts w:hint="eastAsia"/>
        </w:rPr>
        <w:t>と感情レベルの個人的な関与が</w:t>
      </w:r>
      <w:r w:rsidR="0003634E">
        <w:rPr>
          <w:rFonts w:hint="eastAsia"/>
        </w:rPr>
        <w:t>消費者の</w:t>
      </w:r>
      <w:r w:rsidR="0003634E">
        <w:rPr>
          <w:rFonts w:hint="eastAsia"/>
        </w:rPr>
        <w:t>CRM</w:t>
      </w:r>
      <w:r w:rsidR="0003634E">
        <w:rPr>
          <w:rFonts w:hint="eastAsia"/>
        </w:rPr>
        <w:t>キャンペーンの反応を差別化する大切な要因である</w:t>
      </w:r>
    </w:p>
    <w:p w:rsidR="0003634E" w:rsidRDefault="0003634E" w:rsidP="00377B2A">
      <w:r>
        <w:rPr>
          <w:rFonts w:hint="eastAsia"/>
        </w:rPr>
        <w:t xml:space="preserve">　　　　コーズ側の信用性が消費者の</w:t>
      </w:r>
      <w:r>
        <w:rPr>
          <w:rFonts w:hint="eastAsia"/>
        </w:rPr>
        <w:t>CRM</w:t>
      </w:r>
      <w:r>
        <w:rPr>
          <w:rFonts w:hint="eastAsia"/>
        </w:rPr>
        <w:t>キャンペーンへの評価に対して重要である</w:t>
      </w:r>
    </w:p>
    <w:p w:rsidR="0003634E" w:rsidRDefault="0003634E" w:rsidP="00377B2A">
      <w:r>
        <w:rPr>
          <w:rFonts w:hint="eastAsia"/>
        </w:rPr>
        <w:t xml:space="preserve">　　　　</w:t>
      </w:r>
      <w:r>
        <w:rPr>
          <w:rFonts w:hint="eastAsia"/>
        </w:rPr>
        <w:t>CRM</w:t>
      </w:r>
      <w:r>
        <w:rPr>
          <w:rFonts w:hint="eastAsia"/>
        </w:rPr>
        <w:t>に取り組んだ企業に対して消費者がポジティブな評価を持つ</w:t>
      </w:r>
    </w:p>
    <w:p w:rsidR="006B123F" w:rsidRDefault="006B123F" w:rsidP="00377B2A"/>
    <w:p w:rsidR="00D12496" w:rsidRPr="00C971F3" w:rsidRDefault="00C971F3" w:rsidP="00377B2A">
      <w:pPr>
        <w:rPr>
          <w:b/>
          <w:bCs/>
          <w:sz w:val="28"/>
          <w:szCs w:val="32"/>
        </w:rPr>
      </w:pPr>
      <w:r w:rsidRPr="00C971F3">
        <w:rPr>
          <w:rFonts w:hint="eastAsia"/>
          <w:b/>
          <w:bCs/>
          <w:sz w:val="28"/>
          <w:szCs w:val="32"/>
        </w:rPr>
        <w:lastRenderedPageBreak/>
        <w:t>付属資料</w:t>
      </w:r>
      <w:r>
        <w:rPr>
          <w:rFonts w:hint="eastAsia"/>
          <w:b/>
          <w:bCs/>
          <w:sz w:val="28"/>
          <w:szCs w:val="32"/>
        </w:rPr>
        <w:t>②</w:t>
      </w:r>
    </w:p>
    <w:p w:rsidR="004F782C" w:rsidRDefault="004F782C" w:rsidP="00377B2A"/>
    <w:p w:rsidR="00BD35A1" w:rsidRDefault="00430435" w:rsidP="001A38B5">
      <w:r w:rsidRPr="001A38B5">
        <w:rPr>
          <w:rFonts w:hint="eastAsia"/>
          <w:u w:val="single"/>
        </w:rPr>
        <w:t>「</w:t>
      </w:r>
      <w:r w:rsidR="004F782C" w:rsidRPr="001A38B5">
        <w:rPr>
          <w:rFonts w:hint="eastAsia"/>
          <w:u w:val="single"/>
        </w:rPr>
        <w:t>コーズへの</w:t>
      </w:r>
      <w:r w:rsidR="001A38B5" w:rsidRPr="001A38B5">
        <w:rPr>
          <w:rFonts w:hint="eastAsia"/>
          <w:u w:val="single"/>
        </w:rPr>
        <w:t>関与</w:t>
      </w:r>
      <w:r w:rsidRPr="001A38B5">
        <w:rPr>
          <w:rFonts w:hint="eastAsia"/>
          <w:u w:val="single"/>
        </w:rPr>
        <w:t>の高さ」が、</w:t>
      </w:r>
      <w:r w:rsidR="000F2EDA" w:rsidRPr="001A38B5">
        <w:rPr>
          <w:rFonts w:hint="eastAsia"/>
          <w:u w:val="single"/>
        </w:rPr>
        <w:t>「</w:t>
      </w:r>
      <w:r w:rsidR="000F2EDA" w:rsidRPr="001A38B5">
        <w:rPr>
          <w:rFonts w:hint="eastAsia"/>
          <w:u w:val="single"/>
        </w:rPr>
        <w:t>CRM</w:t>
      </w:r>
      <w:r w:rsidR="000F2EDA" w:rsidRPr="001A38B5">
        <w:rPr>
          <w:rFonts w:hint="eastAsia"/>
          <w:u w:val="single"/>
        </w:rPr>
        <w:t>キャンペーンへの支援先コーズの地域性」</w:t>
      </w:r>
      <w:r w:rsidRPr="001A38B5">
        <w:rPr>
          <w:rFonts w:hint="eastAsia"/>
          <w:u w:val="single"/>
        </w:rPr>
        <w:t>にどう影響するのかという</w:t>
      </w:r>
      <w:r w:rsidR="00EE2F33" w:rsidRPr="001A38B5">
        <w:rPr>
          <w:rFonts w:hint="eastAsia"/>
          <w:u w:val="single"/>
        </w:rPr>
        <w:t>研究</w:t>
      </w:r>
      <w:r w:rsidR="001A38B5">
        <w:rPr>
          <w:rFonts w:hint="eastAsia"/>
        </w:rPr>
        <w:t xml:space="preserve">　</w:t>
      </w:r>
    </w:p>
    <w:p w:rsidR="00BD35A1" w:rsidRDefault="001A38B5" w:rsidP="00BD35A1">
      <w:pPr>
        <w:ind w:firstLineChars="250" w:firstLine="525"/>
      </w:pPr>
      <w:proofErr w:type="spellStart"/>
      <w:r>
        <w:rPr>
          <w:rFonts w:hint="eastAsia"/>
        </w:rPr>
        <w:t>Grau</w:t>
      </w:r>
      <w:proofErr w:type="spellEnd"/>
      <w:r w:rsidR="00BD35A1">
        <w:rPr>
          <w:rFonts w:hint="eastAsia"/>
        </w:rPr>
        <w:t xml:space="preserve">, S.L. and </w:t>
      </w:r>
      <w:proofErr w:type="spellStart"/>
      <w:r w:rsidR="00BD35A1">
        <w:rPr>
          <w:rFonts w:hint="eastAsia"/>
        </w:rPr>
        <w:t>Folse</w:t>
      </w:r>
      <w:proofErr w:type="spellEnd"/>
      <w:r w:rsidR="00BD35A1">
        <w:rPr>
          <w:rFonts w:hint="eastAsia"/>
        </w:rPr>
        <w:t xml:space="preserve">, J.A.G. </w:t>
      </w:r>
      <w:r>
        <w:rPr>
          <w:rFonts w:hint="eastAsia"/>
        </w:rPr>
        <w:t xml:space="preserve"> (2007)</w:t>
      </w:r>
      <w:r w:rsidR="00BD35A1">
        <w:rPr>
          <w:rFonts w:hint="eastAsia"/>
        </w:rPr>
        <w:t xml:space="preserve"> </w:t>
      </w:r>
      <w:r w:rsidR="00BD35A1">
        <w:t>“</w:t>
      </w:r>
      <w:r w:rsidR="00BD35A1">
        <w:rPr>
          <w:rFonts w:hint="eastAsia"/>
        </w:rPr>
        <w:t xml:space="preserve">Cause-Related Marketing(CRM): </w:t>
      </w:r>
    </w:p>
    <w:p w:rsidR="001A38B5" w:rsidRDefault="00BD35A1" w:rsidP="00BD35A1">
      <w:pPr>
        <w:ind w:firstLineChars="250" w:firstLine="525"/>
      </w:pPr>
      <w:r>
        <w:rPr>
          <w:rFonts w:hint="eastAsia"/>
        </w:rPr>
        <w:t xml:space="preserve">The Influence of Donation Proximity and Message Framing Cues on the Less-Involved </w:t>
      </w:r>
      <w:proofErr w:type="spellStart"/>
      <w:r>
        <w:rPr>
          <w:rFonts w:hint="eastAsia"/>
        </w:rPr>
        <w:t>Consemer</w:t>
      </w:r>
      <w:proofErr w:type="spellEnd"/>
      <w:r>
        <w:rPr>
          <w:rFonts w:hint="eastAsia"/>
        </w:rPr>
        <w:t>,</w:t>
      </w:r>
      <w:r>
        <w:t>”</w:t>
      </w:r>
      <w:r>
        <w:rPr>
          <w:rFonts w:hint="eastAsia"/>
        </w:rPr>
        <w:t xml:space="preserve"> Journal of Advertising, Vol.36, No.4, pp.19-33.</w:t>
      </w:r>
    </w:p>
    <w:p w:rsidR="000F2EDA" w:rsidRDefault="000F2EDA" w:rsidP="00377B2A">
      <w:r>
        <w:rPr>
          <w:rFonts w:hint="eastAsia"/>
        </w:rPr>
        <w:t>⇒結果：コーズへの関与が高い消費者は関与が低い消費者より</w:t>
      </w:r>
      <w:r>
        <w:rPr>
          <w:rFonts w:hint="eastAsia"/>
        </w:rPr>
        <w:t>CRM</w:t>
      </w:r>
      <w:r>
        <w:rPr>
          <w:rFonts w:hint="eastAsia"/>
        </w:rPr>
        <w:t>キャンペーンへの態度が好意的で参加意欲が高い</w:t>
      </w:r>
    </w:p>
    <w:p w:rsidR="000F2EDA" w:rsidRDefault="000F2EDA" w:rsidP="00377B2A">
      <w:r>
        <w:rPr>
          <w:rFonts w:hint="eastAsia"/>
        </w:rPr>
        <w:t xml:space="preserve">　　　　地元範囲支援先コーズの場合は、全国範囲のコーズの場合より、消費者の</w:t>
      </w:r>
      <w:r>
        <w:rPr>
          <w:rFonts w:hint="eastAsia"/>
        </w:rPr>
        <w:t>CRM</w:t>
      </w:r>
      <w:r>
        <w:rPr>
          <w:rFonts w:hint="eastAsia"/>
        </w:rPr>
        <w:t>キャンペーンへの態度が好意的で参加意欲が高い</w:t>
      </w:r>
    </w:p>
    <w:p w:rsidR="000F2EDA" w:rsidRDefault="000F2EDA" w:rsidP="00377B2A">
      <w:r>
        <w:rPr>
          <w:rFonts w:hint="eastAsia"/>
        </w:rPr>
        <w:t xml:space="preserve">　　　　</w:t>
      </w:r>
      <w:r w:rsidR="00430435">
        <w:rPr>
          <w:rFonts w:hint="eastAsia"/>
        </w:rPr>
        <w:t>コーズへの関与が低い消費者にとって、支援先のコーズは地元であるほうが、キャンペーンへの態度が好意的で参加意欲が高いが、</w:t>
      </w:r>
    </w:p>
    <w:p w:rsidR="00430435" w:rsidRDefault="00430435" w:rsidP="00377B2A">
      <w:r>
        <w:rPr>
          <w:rFonts w:hint="eastAsia"/>
        </w:rPr>
        <w:t xml:space="preserve">　　　　</w:t>
      </w:r>
      <w:r w:rsidR="00EE2F33">
        <w:rPr>
          <w:rFonts w:hint="eastAsia"/>
        </w:rPr>
        <w:t>しかい</w:t>
      </w:r>
      <w:r>
        <w:rPr>
          <w:rFonts w:hint="eastAsia"/>
        </w:rPr>
        <w:t>コーズへの関与度が高い消費者にとっては地元範囲でも全国範囲でも、差はない</w:t>
      </w:r>
    </w:p>
    <w:p w:rsidR="00430435" w:rsidRDefault="00430435" w:rsidP="00377B2A">
      <w:r>
        <w:rPr>
          <w:rFonts w:hint="eastAsia"/>
        </w:rPr>
        <w:t xml:space="preserve">　</w:t>
      </w:r>
    </w:p>
    <w:p w:rsidR="00850989" w:rsidRDefault="00841A3D" w:rsidP="001A38B5">
      <w:r w:rsidRPr="001A38B5">
        <w:rPr>
          <w:rFonts w:hint="eastAsia"/>
          <w:u w:val="single"/>
        </w:rPr>
        <w:t>娯楽品と</w:t>
      </w:r>
      <w:r w:rsidR="006556EE" w:rsidRPr="001A38B5">
        <w:rPr>
          <w:rFonts w:hint="eastAsia"/>
          <w:u w:val="single"/>
        </w:rPr>
        <w:t>実用品、どちらが</w:t>
      </w:r>
      <w:r w:rsidR="006556EE" w:rsidRPr="001A38B5">
        <w:rPr>
          <w:rFonts w:hint="eastAsia"/>
          <w:u w:val="single"/>
        </w:rPr>
        <w:t>CRM</w:t>
      </w:r>
      <w:r w:rsidR="006556EE" w:rsidRPr="001A38B5">
        <w:rPr>
          <w:rFonts w:hint="eastAsia"/>
          <w:u w:val="single"/>
        </w:rPr>
        <w:t>に向いているかという研究</w:t>
      </w:r>
      <w:r w:rsidR="001A38B5">
        <w:rPr>
          <w:rFonts w:hint="eastAsia"/>
        </w:rPr>
        <w:t xml:space="preserve">　　　　　</w:t>
      </w:r>
    </w:p>
    <w:p w:rsidR="00850989" w:rsidRDefault="00850989" w:rsidP="00850989">
      <w:pPr>
        <w:ind w:firstLineChars="200" w:firstLine="420"/>
      </w:pPr>
      <w:proofErr w:type="spellStart"/>
      <w:r>
        <w:rPr>
          <w:rFonts w:hint="eastAsia"/>
        </w:rPr>
        <w:t>Strahilevits</w:t>
      </w:r>
      <w:proofErr w:type="spellEnd"/>
      <w:r>
        <w:rPr>
          <w:rFonts w:hint="eastAsia"/>
        </w:rPr>
        <w:t xml:space="preserve">, M, and Myers, J.G. </w:t>
      </w:r>
      <w:r w:rsidR="001A38B5">
        <w:rPr>
          <w:rFonts w:hint="eastAsia"/>
        </w:rPr>
        <w:t>(1998)</w:t>
      </w:r>
      <w:r>
        <w:rPr>
          <w:rFonts w:hint="eastAsia"/>
        </w:rPr>
        <w:t xml:space="preserve">  </w:t>
      </w:r>
      <w:r>
        <w:t>“</w:t>
      </w:r>
      <w:r>
        <w:rPr>
          <w:rFonts w:hint="eastAsia"/>
        </w:rPr>
        <w:t xml:space="preserve">Donations to Charity as Purchase Incentives: </w:t>
      </w:r>
    </w:p>
    <w:p w:rsidR="001A38B5" w:rsidRDefault="00850989" w:rsidP="00850989">
      <w:pPr>
        <w:ind w:firstLineChars="200" w:firstLine="420"/>
      </w:pPr>
      <w:r>
        <w:rPr>
          <w:rFonts w:hint="eastAsia"/>
        </w:rPr>
        <w:t xml:space="preserve">How Well they work may depend on what you are trying to sell </w:t>
      </w:r>
      <w:r>
        <w:t>“</w:t>
      </w:r>
      <w:r>
        <w:rPr>
          <w:rFonts w:hint="eastAsia"/>
        </w:rPr>
        <w:t xml:space="preserve">, </w:t>
      </w:r>
      <w:proofErr w:type="spellStart"/>
      <w:r>
        <w:rPr>
          <w:rFonts w:hint="eastAsia"/>
        </w:rPr>
        <w:t>Jornal</w:t>
      </w:r>
      <w:proofErr w:type="spellEnd"/>
      <w:r>
        <w:rPr>
          <w:rFonts w:hint="eastAsia"/>
        </w:rPr>
        <w:t xml:space="preserve"> of Consumer Research, Vol,24(march), pp.434-446.</w:t>
      </w:r>
    </w:p>
    <w:p w:rsidR="006556EE" w:rsidRDefault="006556EE" w:rsidP="00377B2A">
      <w:r>
        <w:rPr>
          <w:rFonts w:hint="eastAsia"/>
        </w:rPr>
        <w:t>⇒結果：実用品よりも、娯楽品において、消費者の好意的な態度と実際の購買行動につながる</w:t>
      </w:r>
    </w:p>
    <w:p w:rsidR="006556EE" w:rsidRDefault="006556EE" w:rsidP="00377B2A">
      <w:r>
        <w:rPr>
          <w:rFonts w:hint="eastAsia"/>
        </w:rPr>
        <w:t xml:space="preserve">　　　（消費者が娯楽品を消費することによって起こした罪悪感を、利他的行動で補完しようとする心理的負担軽減効果が働いているから）</w:t>
      </w:r>
    </w:p>
    <w:p w:rsidR="00FB35D3" w:rsidRDefault="00FB35D3" w:rsidP="00377B2A"/>
    <w:p w:rsidR="00850989" w:rsidRDefault="00FB35D3" w:rsidP="00377B2A">
      <w:r w:rsidRPr="00F4245F">
        <w:rPr>
          <w:rFonts w:hint="eastAsia"/>
          <w:u w:val="single"/>
        </w:rPr>
        <w:t>「コーズとの関与度」・「寄付金額の多寡」と消費者のブランドへの態度と、購買意図に関する研究</w:t>
      </w:r>
      <w:r>
        <w:rPr>
          <w:rFonts w:hint="eastAsia"/>
        </w:rPr>
        <w:t xml:space="preserve">　　</w:t>
      </w:r>
    </w:p>
    <w:p w:rsidR="00433A98" w:rsidRDefault="00FB35D3" w:rsidP="00850989">
      <w:pPr>
        <w:ind w:firstLineChars="200" w:firstLine="420"/>
      </w:pPr>
      <w:proofErr w:type="spellStart"/>
      <w:r>
        <w:rPr>
          <w:rFonts w:hint="eastAsia"/>
        </w:rPr>
        <w:t>Hajjat</w:t>
      </w:r>
      <w:r w:rsidR="00433A98">
        <w:rPr>
          <w:rFonts w:hint="eastAsia"/>
        </w:rPr>
        <w:t>,b</w:t>
      </w:r>
      <w:proofErr w:type="spellEnd"/>
      <w:r w:rsidR="00433A98">
        <w:rPr>
          <w:rFonts w:hint="eastAsia"/>
        </w:rPr>
        <w:t xml:space="preserve"> M.M. </w:t>
      </w:r>
      <w:r>
        <w:rPr>
          <w:rFonts w:hint="eastAsia"/>
        </w:rPr>
        <w:t>(2003)</w:t>
      </w:r>
      <w:r w:rsidR="00433A98">
        <w:rPr>
          <w:rFonts w:hint="eastAsia"/>
        </w:rPr>
        <w:t xml:space="preserve">  </w:t>
      </w:r>
      <w:r w:rsidR="00433A98">
        <w:t>“</w:t>
      </w:r>
      <w:r w:rsidR="00433A98">
        <w:rPr>
          <w:rFonts w:hint="eastAsia"/>
        </w:rPr>
        <w:t xml:space="preserve">Effect of Cause-Related Marketing on Attitudes and Purchase Intentions: </w:t>
      </w:r>
    </w:p>
    <w:p w:rsidR="00FB35D3" w:rsidRDefault="00433A98" w:rsidP="00850989">
      <w:pPr>
        <w:ind w:firstLineChars="200" w:firstLine="420"/>
      </w:pPr>
      <w:r>
        <w:rPr>
          <w:rFonts w:hint="eastAsia"/>
        </w:rPr>
        <w:t xml:space="preserve">The </w:t>
      </w:r>
      <w:proofErr w:type="spellStart"/>
      <w:r>
        <w:rPr>
          <w:rFonts w:hint="eastAsia"/>
        </w:rPr>
        <w:t>Moderationg</w:t>
      </w:r>
      <w:proofErr w:type="spellEnd"/>
      <w:r>
        <w:rPr>
          <w:rFonts w:hint="eastAsia"/>
        </w:rPr>
        <w:t xml:space="preserve"> Role of Cause Involvement and Donation Size,</w:t>
      </w:r>
      <w:r>
        <w:t>”</w:t>
      </w:r>
      <w:r>
        <w:rPr>
          <w:rFonts w:hint="eastAsia"/>
        </w:rPr>
        <w:t xml:space="preserve"> Journal of Nonprofit &amp; Public Sector Marketing, Vol.11, No.1, pp.93-109.</w:t>
      </w:r>
    </w:p>
    <w:p w:rsidR="00F4245F" w:rsidRDefault="00FB35D3" w:rsidP="00F4245F">
      <w:pPr>
        <w:ind w:leftChars="-100" w:left="210" w:hangingChars="200" w:hanging="420"/>
      </w:pPr>
      <w:r>
        <w:rPr>
          <w:rFonts w:hint="eastAsia"/>
        </w:rPr>
        <w:t>⇒結果：コーズとの関与度が高い場合、寄付金額が多いと、寄付を伴わないマーケティングよりも、</w:t>
      </w:r>
      <w:r w:rsidR="00F4245F">
        <w:rPr>
          <w:rFonts w:hint="eastAsia"/>
        </w:rPr>
        <w:t>CRM</w:t>
      </w:r>
      <w:r w:rsidR="00F4245F">
        <w:rPr>
          <w:rFonts w:hint="eastAsia"/>
        </w:rPr>
        <w:t>の方がより消費者に対する影響力がある</w:t>
      </w:r>
    </w:p>
    <w:p w:rsidR="00F4245F" w:rsidRDefault="00F4245F" w:rsidP="00F4245F">
      <w:pPr>
        <w:ind w:leftChars="-100" w:left="210" w:hangingChars="200" w:hanging="420"/>
      </w:pPr>
      <w:r>
        <w:rPr>
          <w:rFonts w:hint="eastAsia"/>
        </w:rPr>
        <w:t xml:space="preserve">　　　　コーズとの関与度が高い場合、寄付金額が少ないと、寄付を行わないマーケティングの方がより影響力がある</w:t>
      </w:r>
    </w:p>
    <w:p w:rsidR="00F4245F" w:rsidRDefault="00F4245F" w:rsidP="00F4245F">
      <w:pPr>
        <w:ind w:leftChars="-100" w:left="210" w:hangingChars="200" w:hanging="420"/>
      </w:pPr>
      <w:r>
        <w:rPr>
          <w:rFonts w:hint="eastAsia"/>
        </w:rPr>
        <w:t xml:space="preserve">　　　　コーズとの関与度が低い場合は上記とまったく逆の結果が出た</w:t>
      </w:r>
    </w:p>
    <w:p w:rsidR="00F4245F" w:rsidRDefault="00F4245F" w:rsidP="00F4245F">
      <w:pPr>
        <w:ind w:leftChars="-100" w:left="210" w:hangingChars="200" w:hanging="420"/>
      </w:pPr>
    </w:p>
    <w:p w:rsidR="00F4245F" w:rsidRDefault="00F4245F" w:rsidP="002F5700">
      <w:pPr>
        <w:ind w:leftChars="-100" w:left="210" w:hangingChars="200" w:hanging="420"/>
      </w:pPr>
      <w:r w:rsidRPr="006C1A17">
        <w:rPr>
          <w:rFonts w:hint="eastAsia"/>
          <w:u w:val="single"/>
        </w:rPr>
        <w:t>CRM</w:t>
      </w:r>
      <w:r w:rsidRPr="006C1A17">
        <w:rPr>
          <w:rFonts w:hint="eastAsia"/>
          <w:u w:val="single"/>
        </w:rPr>
        <w:t>を行う際のコーズの重要度と適合度（米、大学生</w:t>
      </w:r>
      <w:r w:rsidRPr="006C1A17">
        <w:rPr>
          <w:rFonts w:hint="eastAsia"/>
          <w:u w:val="single"/>
        </w:rPr>
        <w:t>235</w:t>
      </w:r>
      <w:r w:rsidRPr="006C1A17">
        <w:rPr>
          <w:rFonts w:hint="eastAsia"/>
          <w:u w:val="single"/>
        </w:rPr>
        <w:t>名に調</w:t>
      </w:r>
      <w:r w:rsidR="002F5700">
        <w:rPr>
          <w:rFonts w:hint="eastAsia"/>
        </w:rPr>
        <w:t>査）</w:t>
      </w:r>
    </w:p>
    <w:p w:rsidR="006B496A" w:rsidRDefault="002F5700" w:rsidP="006B496A">
      <w:pPr>
        <w:ind w:leftChars="-100" w:left="210" w:hangingChars="200" w:hanging="420"/>
      </w:pPr>
      <w:r>
        <w:rPr>
          <w:rFonts w:hint="eastAsia"/>
        </w:rPr>
        <w:t xml:space="preserve">　　　　</w:t>
      </w:r>
      <w:r>
        <w:rPr>
          <w:rFonts w:hint="eastAsia"/>
        </w:rPr>
        <w:t xml:space="preserve">Lafferty, B.A. (2009) </w:t>
      </w:r>
      <w:r>
        <w:t>“</w:t>
      </w:r>
      <w:r>
        <w:rPr>
          <w:rFonts w:hint="eastAsia"/>
        </w:rPr>
        <w:t xml:space="preserve">The </w:t>
      </w:r>
      <w:r>
        <w:t>relevance</w:t>
      </w:r>
      <w:r>
        <w:rPr>
          <w:rFonts w:hint="eastAsia"/>
        </w:rPr>
        <w:t xml:space="preserve"> of fit in a cause-brand </w:t>
      </w:r>
      <w:proofErr w:type="spellStart"/>
      <w:r>
        <w:rPr>
          <w:rFonts w:hint="eastAsia"/>
        </w:rPr>
        <w:t>allicance</w:t>
      </w:r>
      <w:proofErr w:type="spellEnd"/>
      <w:r>
        <w:rPr>
          <w:rFonts w:hint="eastAsia"/>
        </w:rPr>
        <w:t xml:space="preserve"> when </w:t>
      </w:r>
      <w:proofErr w:type="spellStart"/>
      <w:r>
        <w:rPr>
          <w:rFonts w:hint="eastAsia"/>
        </w:rPr>
        <w:t>consumersw</w:t>
      </w:r>
      <w:proofErr w:type="spellEnd"/>
      <w:r w:rsidR="006B496A">
        <w:rPr>
          <w:rFonts w:hint="eastAsia"/>
        </w:rPr>
        <w:t xml:space="preserve"> evaluate corporate credibility,  </w:t>
      </w:r>
    </w:p>
    <w:p w:rsidR="006B496A" w:rsidRDefault="006B496A" w:rsidP="006B496A">
      <w:pPr>
        <w:ind w:leftChars="-400" w:left="-840"/>
      </w:pPr>
      <w:r>
        <w:rPr>
          <w:rFonts w:hint="eastAsia"/>
        </w:rPr>
        <w:t xml:space="preserve">              Journal of Business Research, Vol.60, pp.447-453</w:t>
      </w:r>
    </w:p>
    <w:p w:rsidR="00F4245F" w:rsidRDefault="00F4245F" w:rsidP="006B496A">
      <w:pPr>
        <w:ind w:leftChars="-400" w:left="-840" w:firstLineChars="300" w:firstLine="630"/>
      </w:pPr>
      <w:r>
        <w:rPr>
          <w:rFonts w:hint="eastAsia"/>
        </w:rPr>
        <w:t>⇒結果：</w:t>
      </w:r>
      <w:r w:rsidR="006C1A17">
        <w:rPr>
          <w:rFonts w:hint="eastAsia"/>
        </w:rPr>
        <w:t>あまり知られていないブランドまたは新しいブランドは、コーズと提携することによって消費者の態度と購買意図を高めることができる</w:t>
      </w:r>
    </w:p>
    <w:p w:rsidR="000A27C9" w:rsidRDefault="000A27C9" w:rsidP="006B496A">
      <w:pPr>
        <w:ind w:leftChars="-400" w:left="-840" w:firstLineChars="300" w:firstLine="630"/>
      </w:pPr>
    </w:p>
    <w:p w:rsidR="000A27C9" w:rsidRDefault="000A27C9">
      <w:pPr>
        <w:widowControl/>
        <w:jc w:val="left"/>
        <w:sectPr w:rsidR="000A27C9" w:rsidSect="00025CBD">
          <w:pgSz w:w="16838" w:h="11906" w:orient="landscape"/>
          <w:pgMar w:top="720" w:right="720" w:bottom="720" w:left="1247" w:header="851" w:footer="992" w:gutter="0"/>
          <w:cols w:space="425"/>
          <w:docGrid w:type="lines" w:linePitch="360"/>
        </w:sectPr>
      </w:pPr>
    </w:p>
    <w:p w:rsidR="000A27C9" w:rsidRPr="000A27C9" w:rsidRDefault="000A27C9" w:rsidP="000A27C9">
      <w:pPr>
        <w:rPr>
          <w:b/>
          <w:bCs/>
          <w:sz w:val="28"/>
          <w:szCs w:val="32"/>
        </w:rPr>
      </w:pPr>
      <w:r w:rsidRPr="000A27C9">
        <w:rPr>
          <w:rFonts w:hint="eastAsia"/>
          <w:b/>
          <w:bCs/>
          <w:sz w:val="28"/>
          <w:szCs w:val="32"/>
        </w:rPr>
        <w:lastRenderedPageBreak/>
        <w:t>付属資料③</w:t>
      </w:r>
    </w:p>
    <w:p w:rsidR="000A27C9" w:rsidRDefault="000A27C9" w:rsidP="000A27C9">
      <w:pPr>
        <w:rPr>
          <w:rFonts w:asciiTheme="majorEastAsia" w:eastAsiaTheme="majorEastAsia" w:hAnsiTheme="majorEastAsia"/>
          <w:sz w:val="24"/>
          <w:szCs w:val="24"/>
        </w:rPr>
      </w:pPr>
    </w:p>
    <w:p w:rsidR="000A27C9" w:rsidRPr="000761F9" w:rsidRDefault="000A27C9" w:rsidP="000A27C9">
      <w:pPr>
        <w:rPr>
          <w:rFonts w:asciiTheme="majorEastAsia" w:eastAsiaTheme="majorEastAsia" w:hAnsiTheme="majorEastAsia"/>
          <w:b/>
          <w:bCs/>
          <w:sz w:val="44"/>
          <w:szCs w:val="44"/>
          <w:u w:val="single"/>
        </w:rPr>
      </w:pPr>
      <w:r w:rsidRPr="000761F9">
        <w:rPr>
          <w:rFonts w:asciiTheme="majorEastAsia" w:eastAsiaTheme="majorEastAsia" w:hAnsiTheme="majorEastAsia" w:hint="eastAsia"/>
          <w:b/>
          <w:bCs/>
          <w:sz w:val="44"/>
          <w:szCs w:val="44"/>
          <w:u w:val="single"/>
        </w:rPr>
        <w:t>因子分析</w:t>
      </w:r>
    </w:p>
    <w:p w:rsidR="000A27C9" w:rsidRPr="00830E27" w:rsidRDefault="000A27C9" w:rsidP="000A27C9">
      <w:pPr>
        <w:rPr>
          <w:rFonts w:asciiTheme="majorEastAsia" w:eastAsiaTheme="majorEastAsia" w:hAnsiTheme="majorEastAsia"/>
          <w:sz w:val="20"/>
          <w:szCs w:val="20"/>
        </w:rPr>
      </w:pPr>
    </w:p>
    <w:p w:rsidR="000A27C9" w:rsidRPr="00830E27" w:rsidRDefault="000A27C9" w:rsidP="000A27C9">
      <w:pPr>
        <w:widowControl/>
        <w:jc w:val="left"/>
        <w:rPr>
          <w:rFonts w:asciiTheme="majorEastAsia" w:eastAsiaTheme="majorEastAsia" w:hAnsiTheme="majorEastAsia"/>
        </w:rPr>
      </w:pPr>
      <w:r w:rsidRPr="00903B85">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830E27">
        <w:rPr>
          <w:rFonts w:asciiTheme="majorEastAsia" w:eastAsiaTheme="majorEastAsia" w:hAnsiTheme="majorEastAsia" w:hint="eastAsia"/>
          <w:b/>
          <w:bCs/>
          <w:sz w:val="20"/>
          <w:szCs w:val="20"/>
        </w:rPr>
        <w:t>共通性</w:t>
      </w:r>
    </w:p>
    <w:tbl>
      <w:tblPr>
        <w:tblStyle w:val="af1"/>
        <w:tblW w:w="0" w:type="auto"/>
        <w:tblInd w:w="39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418"/>
        <w:gridCol w:w="1418"/>
      </w:tblGrid>
      <w:tr w:rsidR="000A27C9" w:rsidRPr="00830E27" w:rsidTr="00641F17">
        <w:tc>
          <w:tcPr>
            <w:tcW w:w="2977" w:type="dxa"/>
            <w:tcBorders>
              <w:top w:val="single" w:sz="12"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b/>
                <w:bCs/>
                <w:sz w:val="20"/>
                <w:szCs w:val="20"/>
              </w:rPr>
            </w:pPr>
          </w:p>
        </w:tc>
        <w:tc>
          <w:tcPr>
            <w:tcW w:w="1418" w:type="dxa"/>
            <w:tcBorders>
              <w:top w:val="single" w:sz="12" w:space="0" w:color="auto"/>
              <w:left w:val="single" w:sz="12" w:space="0" w:color="auto"/>
              <w:bottom w:val="single" w:sz="12" w:space="0" w:color="auto"/>
            </w:tcBorders>
            <w:vAlign w:val="center"/>
          </w:tcPr>
          <w:p w:rsidR="000A27C9" w:rsidRPr="00830E27" w:rsidRDefault="000A27C9" w:rsidP="00641F17">
            <w:pPr>
              <w:widowControl/>
              <w:jc w:val="center"/>
              <w:rPr>
                <w:rFonts w:asciiTheme="majorEastAsia" w:eastAsiaTheme="majorEastAsia" w:hAnsiTheme="majorEastAsia"/>
                <w:b/>
                <w:bCs/>
                <w:sz w:val="20"/>
                <w:szCs w:val="20"/>
              </w:rPr>
            </w:pPr>
            <w:r w:rsidRPr="00830E27">
              <w:rPr>
                <w:rFonts w:asciiTheme="majorEastAsia" w:eastAsiaTheme="majorEastAsia" w:hAnsiTheme="majorEastAsia" w:hint="eastAsia"/>
                <w:b/>
                <w:bCs/>
                <w:sz w:val="20"/>
                <w:szCs w:val="20"/>
              </w:rPr>
              <w:t>初期</w:t>
            </w:r>
          </w:p>
        </w:tc>
        <w:tc>
          <w:tcPr>
            <w:tcW w:w="1418" w:type="dxa"/>
            <w:tcBorders>
              <w:top w:val="single" w:sz="12" w:space="0" w:color="auto"/>
              <w:bottom w:val="single" w:sz="12" w:space="0" w:color="auto"/>
            </w:tcBorders>
            <w:vAlign w:val="center"/>
          </w:tcPr>
          <w:p w:rsidR="000A27C9" w:rsidRPr="00830E27" w:rsidRDefault="000A27C9" w:rsidP="00641F17">
            <w:pPr>
              <w:widowControl/>
              <w:jc w:val="center"/>
              <w:rPr>
                <w:rFonts w:asciiTheme="majorEastAsia" w:eastAsiaTheme="majorEastAsia" w:hAnsiTheme="majorEastAsia"/>
                <w:b/>
                <w:bCs/>
                <w:sz w:val="20"/>
                <w:szCs w:val="20"/>
              </w:rPr>
            </w:pPr>
            <w:r w:rsidRPr="00830E27">
              <w:rPr>
                <w:rFonts w:asciiTheme="majorEastAsia" w:eastAsiaTheme="majorEastAsia" w:hAnsiTheme="majorEastAsia" w:hint="eastAsia"/>
                <w:b/>
                <w:bCs/>
                <w:sz w:val="20"/>
                <w:szCs w:val="20"/>
              </w:rPr>
              <w:t>因子抽出後</w:t>
            </w:r>
          </w:p>
        </w:tc>
      </w:tr>
      <w:tr w:rsidR="000A27C9" w:rsidRPr="00830E27" w:rsidTr="00641F17">
        <w:tc>
          <w:tcPr>
            <w:tcW w:w="2977" w:type="dxa"/>
            <w:tcBorders>
              <w:top w:val="single" w:sz="12"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CRMキャンペーンへの態度</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商品への態度</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広告への態度</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社会貢献意識</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購買満足</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誇示</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協調</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あこがれ</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良心</w:t>
            </w:r>
          </w:p>
        </w:tc>
        <w:tc>
          <w:tcPr>
            <w:tcW w:w="1418" w:type="dxa"/>
            <w:tcBorders>
              <w:top w:val="single" w:sz="12" w:space="0" w:color="auto"/>
              <w:left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.493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.609</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.440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.559</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.550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.313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.390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.437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.221</w:t>
            </w:r>
          </w:p>
        </w:tc>
        <w:tc>
          <w:tcPr>
            <w:tcW w:w="1418"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.557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.660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.478</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.566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.583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.581</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.435</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.440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.202</w:t>
            </w:r>
          </w:p>
        </w:tc>
      </w:tr>
    </w:tbl>
    <w:p w:rsidR="000A27C9" w:rsidRPr="00830E27" w:rsidRDefault="000A27C9" w:rsidP="000A27C9">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b/>
          <w:bCs/>
          <w:sz w:val="20"/>
          <w:szCs w:val="20"/>
        </w:rPr>
        <w:t xml:space="preserve">　　　</w:t>
      </w:r>
      <w:r w:rsidRPr="00830E27">
        <w:rPr>
          <w:rFonts w:asciiTheme="majorEastAsia" w:eastAsiaTheme="majorEastAsia" w:hAnsiTheme="majorEastAsia" w:hint="eastAsia"/>
          <w:sz w:val="20"/>
          <w:szCs w:val="20"/>
        </w:rPr>
        <w:t>因子抽出法：最尤法</w:t>
      </w:r>
    </w:p>
    <w:p w:rsidR="000A27C9" w:rsidRPr="00903B85" w:rsidRDefault="000A27C9" w:rsidP="000A27C9">
      <w:pPr>
        <w:widowControl/>
        <w:jc w:val="left"/>
        <w:rPr>
          <w:rFonts w:asciiTheme="majorEastAsia" w:eastAsiaTheme="majorEastAsia" w:hAnsiTheme="majorEastAsia"/>
        </w:rPr>
      </w:pPr>
    </w:p>
    <w:p w:rsidR="000A27C9" w:rsidRPr="00830E27" w:rsidRDefault="000A27C9" w:rsidP="000A27C9">
      <w:pPr>
        <w:widowControl/>
        <w:ind w:firstLineChars="200" w:firstLine="433"/>
        <w:jc w:val="left"/>
        <w:rPr>
          <w:rFonts w:asciiTheme="majorEastAsia" w:eastAsiaTheme="majorEastAsia" w:hAnsiTheme="majorEastAsia"/>
          <w:b/>
          <w:bCs/>
          <w:sz w:val="20"/>
          <w:szCs w:val="20"/>
        </w:rPr>
      </w:pPr>
      <w:r w:rsidRPr="00830E27">
        <w:rPr>
          <w:rFonts w:asciiTheme="majorEastAsia" w:eastAsiaTheme="majorEastAsia" w:hAnsiTheme="majorEastAsia" w:hint="eastAsia"/>
          <w:b/>
          <w:bCs/>
          <w:sz w:val="20"/>
          <w:szCs w:val="20"/>
        </w:rPr>
        <w:t>説明された分散の合計</w:t>
      </w:r>
    </w:p>
    <w:tbl>
      <w:tblPr>
        <w:tblStyle w:val="af1"/>
        <w:tblW w:w="0" w:type="auto"/>
        <w:tblInd w:w="39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36"/>
        <w:gridCol w:w="1134"/>
        <w:gridCol w:w="1134"/>
        <w:gridCol w:w="1134"/>
        <w:gridCol w:w="1134"/>
        <w:gridCol w:w="1134"/>
        <w:gridCol w:w="1134"/>
        <w:gridCol w:w="1773"/>
      </w:tblGrid>
      <w:tr w:rsidR="000A27C9" w:rsidRPr="00830E27" w:rsidTr="00641F17">
        <w:tc>
          <w:tcPr>
            <w:tcW w:w="836" w:type="dxa"/>
            <w:vMerge w:val="restart"/>
            <w:tcBorders>
              <w:top w:val="single" w:sz="12" w:space="0" w:color="auto"/>
              <w:bottom w:val="single" w:sz="4"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p>
          <w:p w:rsidR="000A27C9" w:rsidRPr="00830E27" w:rsidRDefault="000A27C9" w:rsidP="00641F17">
            <w:pPr>
              <w:widowControl/>
              <w:jc w:val="left"/>
              <w:rPr>
                <w:rFonts w:asciiTheme="majorEastAsia" w:eastAsiaTheme="majorEastAsia" w:hAnsiTheme="majorEastAsia"/>
                <w:sz w:val="20"/>
                <w:szCs w:val="20"/>
              </w:rPr>
            </w:pP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因子</w:t>
            </w:r>
          </w:p>
        </w:tc>
        <w:tc>
          <w:tcPr>
            <w:tcW w:w="3402" w:type="dxa"/>
            <w:gridSpan w:val="3"/>
            <w:tcBorders>
              <w:top w:val="single" w:sz="12" w:space="0" w:color="auto"/>
              <w:left w:val="single" w:sz="12" w:space="0" w:color="auto"/>
              <w:bottom w:val="single" w:sz="4" w:space="0" w:color="auto"/>
            </w:tcBorders>
            <w:vAlign w:val="center"/>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初期の固有値</w:t>
            </w:r>
          </w:p>
        </w:tc>
        <w:tc>
          <w:tcPr>
            <w:tcW w:w="3402" w:type="dxa"/>
            <w:gridSpan w:val="3"/>
            <w:tcBorders>
              <w:top w:val="single" w:sz="12" w:space="0" w:color="auto"/>
              <w:bottom w:val="single" w:sz="4" w:space="0" w:color="auto"/>
            </w:tcBorders>
            <w:vAlign w:val="center"/>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抽出後の負荷量平方和</w:t>
            </w:r>
          </w:p>
        </w:tc>
        <w:tc>
          <w:tcPr>
            <w:tcW w:w="1773" w:type="dxa"/>
            <w:tcBorders>
              <w:top w:val="single" w:sz="12" w:space="0" w:color="auto"/>
              <w:bottom w:val="single" w:sz="4"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回転後の負荷量平方和</w:t>
            </w:r>
          </w:p>
        </w:tc>
      </w:tr>
      <w:tr w:rsidR="000A27C9" w:rsidRPr="00830E27" w:rsidTr="00641F17">
        <w:tc>
          <w:tcPr>
            <w:tcW w:w="836" w:type="dxa"/>
            <w:vMerge/>
            <w:tcBorders>
              <w:top w:val="single" w:sz="4"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p>
        </w:tc>
        <w:tc>
          <w:tcPr>
            <w:tcW w:w="1134" w:type="dxa"/>
            <w:tcBorders>
              <w:top w:val="single" w:sz="4" w:space="0" w:color="auto"/>
              <w:left w:val="single" w:sz="12"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合計</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分散の％</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累積％</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合計</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分散の％</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累積％</w:t>
            </w:r>
          </w:p>
        </w:tc>
        <w:tc>
          <w:tcPr>
            <w:tcW w:w="1773"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合計</w:t>
            </w:r>
          </w:p>
        </w:tc>
      </w:tr>
      <w:tr w:rsidR="000A27C9" w:rsidRPr="00830E27" w:rsidTr="00641F17">
        <w:trPr>
          <w:trHeight w:val="2495"/>
        </w:trPr>
        <w:tc>
          <w:tcPr>
            <w:tcW w:w="836" w:type="dxa"/>
            <w:tcBorders>
              <w:top w:val="single" w:sz="12"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7</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8</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9</w:t>
            </w:r>
          </w:p>
        </w:tc>
        <w:tc>
          <w:tcPr>
            <w:tcW w:w="1134" w:type="dxa"/>
            <w:tcBorders>
              <w:top w:val="single" w:sz="12" w:space="0" w:color="auto"/>
              <w:left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4.360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shd w:val="pct15" w:color="auto" w:fill="FFFFFF"/>
              </w:rPr>
              <w:t>1.146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.813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.594</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.553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.526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.427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.294</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.286</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48.443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12.737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9.030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6.601</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6.148</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5.847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4.746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3.271</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3.177</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48.443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61.180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70.210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76.811</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82.956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88.806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93.552</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96.823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100.000</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3.888</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.636</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43.196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7.066</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43.196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shd w:val="pct15" w:color="auto" w:fill="FFFFFF"/>
              </w:rPr>
              <w:t>50.261</w:t>
            </w:r>
          </w:p>
        </w:tc>
        <w:tc>
          <w:tcPr>
            <w:tcW w:w="1773"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3.671</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2.901</w:t>
            </w:r>
          </w:p>
        </w:tc>
      </w:tr>
    </w:tbl>
    <w:p w:rsidR="000A27C9" w:rsidRPr="00830E27" w:rsidRDefault="000A27C9" w:rsidP="000A27C9">
      <w:pPr>
        <w:widowControl/>
        <w:jc w:val="left"/>
        <w:rPr>
          <w:rFonts w:asciiTheme="majorEastAsia" w:eastAsiaTheme="majorEastAsia" w:hAnsiTheme="majorEastAsia"/>
          <w:noProof/>
          <w:sz w:val="20"/>
          <w:szCs w:val="20"/>
          <w:lang w:bidi="th-TH"/>
        </w:rPr>
      </w:pPr>
      <w:r w:rsidRPr="00830E27">
        <w:rPr>
          <w:rFonts w:asciiTheme="majorEastAsia" w:eastAsiaTheme="majorEastAsia" w:hAnsiTheme="majorEastAsia" w:hint="eastAsia"/>
          <w:noProof/>
          <w:sz w:val="20"/>
          <w:szCs w:val="20"/>
          <w:lang w:bidi="th-TH"/>
        </w:rPr>
        <w:t xml:space="preserve">　　　　因子抽出法：最尤法</w:t>
      </w:r>
    </w:p>
    <w:p w:rsidR="000A27C9" w:rsidRPr="00830E27" w:rsidRDefault="000A27C9" w:rsidP="000A27C9">
      <w:pPr>
        <w:widowControl/>
        <w:jc w:val="left"/>
        <w:rPr>
          <w:rFonts w:asciiTheme="majorEastAsia" w:eastAsiaTheme="majorEastAsia" w:hAnsiTheme="majorEastAsia"/>
          <w:noProof/>
          <w:sz w:val="20"/>
          <w:szCs w:val="20"/>
          <w:lang w:bidi="th-TH"/>
        </w:rPr>
      </w:pPr>
      <w:r w:rsidRPr="00830E27">
        <w:rPr>
          <w:rFonts w:asciiTheme="majorEastAsia" w:eastAsiaTheme="majorEastAsia" w:hAnsiTheme="majorEastAsia" w:hint="eastAsia"/>
          <w:noProof/>
          <w:sz w:val="20"/>
          <w:szCs w:val="20"/>
          <w:lang w:bidi="th-TH"/>
        </w:rPr>
        <w:t xml:space="preserve">　　　　ａ．因子が創刊する場合は、不可量平方和を加算しても総分散を得ることはできません。</w:t>
      </w:r>
    </w:p>
    <w:p w:rsidR="000A27C9" w:rsidRPr="00830E27" w:rsidRDefault="000A27C9" w:rsidP="000A27C9">
      <w:pPr>
        <w:widowControl/>
        <w:ind w:firstLineChars="200" w:firstLine="433"/>
        <w:jc w:val="left"/>
        <w:rPr>
          <w:rFonts w:asciiTheme="majorEastAsia" w:eastAsiaTheme="majorEastAsia" w:hAnsiTheme="majorEastAsia"/>
          <w:b/>
          <w:bCs/>
          <w:noProof/>
          <w:sz w:val="20"/>
          <w:szCs w:val="20"/>
          <w:lang w:bidi="th-TH"/>
        </w:rPr>
      </w:pPr>
    </w:p>
    <w:p w:rsidR="000A27C9" w:rsidRDefault="000A27C9" w:rsidP="000A27C9">
      <w:pPr>
        <w:rPr>
          <w:rFonts w:asciiTheme="majorEastAsia" w:eastAsiaTheme="majorEastAsia" w:hAnsiTheme="majorEastAsia"/>
          <w:b/>
          <w:bCs/>
          <w:noProof/>
          <w:sz w:val="20"/>
          <w:szCs w:val="20"/>
          <w:lang w:bidi="th-TH"/>
        </w:rPr>
      </w:pPr>
    </w:p>
    <w:p w:rsidR="000A27C9" w:rsidRDefault="000A27C9" w:rsidP="000A27C9">
      <w:pPr>
        <w:rPr>
          <w:rFonts w:asciiTheme="majorEastAsia" w:eastAsiaTheme="majorEastAsia" w:hAnsiTheme="majorEastAsia"/>
          <w:b/>
          <w:bCs/>
          <w:noProof/>
          <w:sz w:val="20"/>
          <w:szCs w:val="20"/>
          <w:lang w:bidi="th-TH"/>
        </w:rPr>
      </w:pPr>
    </w:p>
    <w:p w:rsidR="000A27C9" w:rsidRPr="000A27C9" w:rsidRDefault="000A27C9" w:rsidP="000A27C9">
      <w:pPr>
        <w:rPr>
          <w:b/>
          <w:bCs/>
          <w:sz w:val="28"/>
          <w:szCs w:val="32"/>
        </w:rPr>
      </w:pPr>
      <w:r w:rsidRPr="000A27C9">
        <w:rPr>
          <w:rFonts w:hint="eastAsia"/>
          <w:b/>
          <w:bCs/>
          <w:sz w:val="28"/>
          <w:szCs w:val="32"/>
        </w:rPr>
        <w:lastRenderedPageBreak/>
        <w:t>付属資料④</w:t>
      </w:r>
    </w:p>
    <w:p w:rsidR="000A27C9" w:rsidRDefault="000A27C9" w:rsidP="000A27C9">
      <w:pPr>
        <w:widowControl/>
        <w:ind w:firstLineChars="200" w:firstLine="433"/>
        <w:jc w:val="left"/>
        <w:rPr>
          <w:rFonts w:asciiTheme="majorEastAsia" w:eastAsiaTheme="majorEastAsia" w:hAnsiTheme="majorEastAsia"/>
          <w:b/>
          <w:bCs/>
          <w:noProof/>
          <w:sz w:val="20"/>
          <w:szCs w:val="20"/>
          <w:lang w:bidi="th-TH"/>
        </w:rPr>
      </w:pPr>
    </w:p>
    <w:p w:rsidR="000A27C9" w:rsidRPr="00830E27" w:rsidRDefault="000A27C9" w:rsidP="000A27C9">
      <w:pPr>
        <w:widowControl/>
        <w:ind w:firstLineChars="200" w:firstLine="433"/>
        <w:jc w:val="left"/>
        <w:rPr>
          <w:rFonts w:asciiTheme="majorEastAsia" w:eastAsiaTheme="majorEastAsia" w:hAnsiTheme="majorEastAsia"/>
          <w:b/>
          <w:bCs/>
          <w:noProof/>
          <w:sz w:val="20"/>
          <w:szCs w:val="20"/>
          <w:lang w:bidi="th-TH"/>
        </w:rPr>
      </w:pPr>
      <w:r w:rsidRPr="00830E27">
        <w:rPr>
          <w:rFonts w:asciiTheme="majorEastAsia" w:eastAsiaTheme="majorEastAsia" w:hAnsiTheme="majorEastAsia" w:hint="eastAsia"/>
          <w:b/>
          <w:bCs/>
          <w:noProof/>
          <w:sz w:val="20"/>
          <w:szCs w:val="20"/>
          <w:lang w:bidi="th-TH"/>
        </w:rPr>
        <w:t>パターン行列</w:t>
      </w:r>
    </w:p>
    <w:tbl>
      <w:tblPr>
        <w:tblStyle w:val="af1"/>
        <w:tblW w:w="0" w:type="auto"/>
        <w:tblInd w:w="39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977"/>
        <w:gridCol w:w="1134"/>
        <w:gridCol w:w="1134"/>
      </w:tblGrid>
      <w:tr w:rsidR="000A27C9" w:rsidRPr="00830E27" w:rsidTr="00641F17">
        <w:tc>
          <w:tcPr>
            <w:tcW w:w="2977" w:type="dxa"/>
            <w:vMerge w:val="restart"/>
            <w:tcBorders>
              <w:top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p>
        </w:tc>
        <w:tc>
          <w:tcPr>
            <w:tcW w:w="2268" w:type="dxa"/>
            <w:gridSpan w:val="2"/>
            <w:tcBorders>
              <w:top w:val="single" w:sz="12" w:space="0" w:color="auto"/>
              <w:left w:val="single" w:sz="12" w:space="0" w:color="auto"/>
              <w:bottom w:val="single" w:sz="4" w:space="0" w:color="auto"/>
            </w:tcBorders>
            <w:vAlign w:val="center"/>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因子</w:t>
            </w:r>
          </w:p>
        </w:tc>
      </w:tr>
      <w:tr w:rsidR="000A27C9" w:rsidRPr="00830E27" w:rsidTr="00641F17">
        <w:tc>
          <w:tcPr>
            <w:tcW w:w="2977" w:type="dxa"/>
            <w:vMerge/>
            <w:tcBorders>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p>
        </w:tc>
        <w:tc>
          <w:tcPr>
            <w:tcW w:w="1134" w:type="dxa"/>
            <w:tcBorders>
              <w:top w:val="single" w:sz="4" w:space="0" w:color="auto"/>
              <w:left w:val="single" w:sz="12" w:space="0" w:color="auto"/>
              <w:bottom w:val="single" w:sz="12" w:space="0" w:color="auto"/>
            </w:tcBorders>
            <w:vAlign w:val="center"/>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１</w:t>
            </w:r>
          </w:p>
        </w:tc>
        <w:tc>
          <w:tcPr>
            <w:tcW w:w="1134" w:type="dxa"/>
            <w:tcBorders>
              <w:top w:val="single" w:sz="4" w:space="0" w:color="auto"/>
              <w:bottom w:val="single" w:sz="12" w:space="0" w:color="auto"/>
            </w:tcBorders>
            <w:vAlign w:val="center"/>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２</w:t>
            </w:r>
          </w:p>
        </w:tc>
      </w:tr>
      <w:tr w:rsidR="000A27C9" w:rsidRPr="00830E27" w:rsidTr="00641F17">
        <w:tc>
          <w:tcPr>
            <w:tcW w:w="2977" w:type="dxa"/>
            <w:tcBorders>
              <w:top w:val="single" w:sz="12"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CRMキャンペーンへの態度</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社会貢献意識</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あこがれ</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広告への態度</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商品への態度</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良心</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誇示</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購買満足</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協調</w:t>
            </w:r>
          </w:p>
        </w:tc>
        <w:tc>
          <w:tcPr>
            <w:tcW w:w="1134" w:type="dxa"/>
            <w:tcBorders>
              <w:top w:val="single" w:sz="12" w:space="0" w:color="auto"/>
              <w:left w:val="single" w:sz="12" w:space="0" w:color="auto"/>
            </w:tcBorders>
          </w:tcPr>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.858</w:t>
            </w:r>
          </w:p>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.692</w:t>
            </w:r>
          </w:p>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.642</w:t>
            </w:r>
          </w:p>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.585</w:t>
            </w:r>
          </w:p>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.576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shd w:val="pct15" w:color="auto" w:fill="FFFFFF"/>
              </w:rPr>
              <w:t>.556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-.326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.347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.256</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-.163</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.087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.032</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.147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.307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-.198</w:t>
            </w:r>
          </w:p>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.939</w:t>
            </w:r>
          </w:p>
          <w:p w:rsidR="000A27C9" w:rsidRPr="00830E27" w:rsidRDefault="000A27C9" w:rsidP="00641F17">
            <w:pPr>
              <w:widowControl/>
              <w:jc w:val="right"/>
              <w:rPr>
                <w:rFonts w:asciiTheme="majorEastAsia" w:eastAsiaTheme="majorEastAsia" w:hAnsiTheme="majorEastAsia"/>
                <w:sz w:val="20"/>
                <w:szCs w:val="20"/>
                <w:shd w:val="pct15" w:color="auto" w:fill="FFFFFF"/>
              </w:rPr>
            </w:pPr>
            <w:r w:rsidRPr="00830E27">
              <w:rPr>
                <w:rFonts w:asciiTheme="majorEastAsia" w:eastAsiaTheme="majorEastAsia" w:hAnsiTheme="majorEastAsia" w:hint="eastAsia"/>
                <w:sz w:val="20"/>
                <w:szCs w:val="20"/>
                <w:shd w:val="pct15" w:color="auto" w:fill="FFFFFF"/>
              </w:rPr>
              <w:t>.488</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shd w:val="pct15" w:color="auto" w:fill="FFFFFF"/>
              </w:rPr>
              <w:t>.461</w:t>
            </w:r>
          </w:p>
        </w:tc>
      </w:tr>
    </w:tbl>
    <w:p w:rsidR="000A27C9" w:rsidRPr="00830E27" w:rsidRDefault="000A27C9" w:rsidP="000A27C9">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 xml:space="preserve">　　因子抽出法：最尤法</w:t>
      </w:r>
    </w:p>
    <w:p w:rsidR="000A27C9" w:rsidRPr="00830E27" w:rsidRDefault="000A27C9" w:rsidP="000A27C9">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 xml:space="preserve">　　回転法：Kaiserの正規化を伴うプロマックス法</w:t>
      </w:r>
    </w:p>
    <w:p w:rsidR="000A27C9" w:rsidRPr="00830E27" w:rsidRDefault="000A27C9" w:rsidP="000A27C9">
      <w:pPr>
        <w:pStyle w:val="a3"/>
        <w:widowControl/>
        <w:numPr>
          <w:ilvl w:val="0"/>
          <w:numId w:val="10"/>
        </w:numPr>
        <w:ind w:leftChars="0"/>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３回の反復で回転が収束しました。</w:t>
      </w:r>
    </w:p>
    <w:p w:rsidR="000A27C9" w:rsidRPr="00830E27" w:rsidRDefault="000A27C9" w:rsidP="000A27C9">
      <w:pPr>
        <w:widowControl/>
        <w:jc w:val="left"/>
        <w:rPr>
          <w:rFonts w:asciiTheme="majorEastAsia" w:eastAsiaTheme="majorEastAsia" w:hAnsiTheme="majorEastAsia"/>
          <w:sz w:val="20"/>
          <w:szCs w:val="20"/>
        </w:rPr>
      </w:pPr>
    </w:p>
    <w:p w:rsidR="000A27C9" w:rsidRPr="000761F9" w:rsidRDefault="000A27C9" w:rsidP="000A27C9">
      <w:pPr>
        <w:widowControl/>
        <w:jc w:val="left"/>
        <w:rPr>
          <w:rFonts w:asciiTheme="majorEastAsia" w:eastAsiaTheme="majorEastAsia" w:hAnsiTheme="majorEastAsia"/>
          <w:b/>
          <w:bCs/>
          <w:sz w:val="52"/>
          <w:szCs w:val="52"/>
          <w:u w:val="single"/>
        </w:rPr>
      </w:pPr>
      <w:r w:rsidRPr="000761F9">
        <w:rPr>
          <w:rFonts w:asciiTheme="majorEastAsia" w:eastAsiaTheme="majorEastAsia" w:hAnsiTheme="majorEastAsia" w:hint="eastAsia"/>
          <w:b/>
          <w:bCs/>
          <w:sz w:val="52"/>
          <w:szCs w:val="52"/>
          <w:u w:val="single"/>
        </w:rPr>
        <w:t>クラスタ分析</w:t>
      </w:r>
    </w:p>
    <w:p w:rsidR="000A27C9" w:rsidRPr="00830E27" w:rsidRDefault="000A27C9" w:rsidP="000A27C9">
      <w:pPr>
        <w:widowControl/>
        <w:jc w:val="left"/>
        <w:rPr>
          <w:rFonts w:asciiTheme="majorEastAsia" w:eastAsiaTheme="majorEastAsia" w:hAnsiTheme="majorEastAsia"/>
          <w:sz w:val="20"/>
          <w:szCs w:val="20"/>
        </w:rPr>
      </w:pPr>
    </w:p>
    <w:p w:rsidR="000A27C9" w:rsidRPr="00830E27" w:rsidRDefault="000A27C9" w:rsidP="000A27C9">
      <w:pPr>
        <w:widowControl/>
        <w:ind w:firstLineChars="200" w:firstLine="433"/>
        <w:jc w:val="left"/>
        <w:rPr>
          <w:rFonts w:asciiTheme="majorEastAsia" w:eastAsiaTheme="majorEastAsia" w:hAnsiTheme="majorEastAsia"/>
          <w:b/>
          <w:bCs/>
          <w:sz w:val="20"/>
          <w:szCs w:val="20"/>
        </w:rPr>
      </w:pPr>
      <w:r w:rsidRPr="00830E27">
        <w:rPr>
          <w:rFonts w:asciiTheme="majorEastAsia" w:eastAsiaTheme="majorEastAsia" w:hAnsiTheme="majorEastAsia" w:hint="eastAsia"/>
          <w:b/>
          <w:bCs/>
          <w:sz w:val="20"/>
          <w:szCs w:val="20"/>
        </w:rPr>
        <w:t>最終クラスタ中心</w:t>
      </w:r>
    </w:p>
    <w:tbl>
      <w:tblPr>
        <w:tblStyle w:val="af1"/>
        <w:tblW w:w="0" w:type="auto"/>
        <w:tblInd w:w="39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26"/>
        <w:gridCol w:w="1134"/>
        <w:gridCol w:w="1134"/>
        <w:gridCol w:w="1134"/>
        <w:gridCol w:w="1134"/>
      </w:tblGrid>
      <w:tr w:rsidR="000A27C9" w:rsidRPr="00830E27" w:rsidTr="00641F17">
        <w:tc>
          <w:tcPr>
            <w:tcW w:w="2126" w:type="dxa"/>
            <w:vMerge w:val="restart"/>
            <w:tcBorders>
              <w:top w:val="single" w:sz="12" w:space="0" w:color="auto"/>
              <w:bottom w:val="single" w:sz="4"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p>
        </w:tc>
        <w:tc>
          <w:tcPr>
            <w:tcW w:w="1134" w:type="dxa"/>
            <w:gridSpan w:val="4"/>
            <w:tcBorders>
              <w:top w:val="single" w:sz="12" w:space="0" w:color="auto"/>
              <w:left w:val="single" w:sz="12" w:space="0" w:color="auto"/>
              <w:bottom w:val="single" w:sz="4"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クラスタ</w:t>
            </w:r>
          </w:p>
        </w:tc>
      </w:tr>
      <w:tr w:rsidR="000A27C9" w:rsidRPr="00830E27" w:rsidTr="00641F17">
        <w:tc>
          <w:tcPr>
            <w:tcW w:w="2126" w:type="dxa"/>
            <w:vMerge/>
            <w:tcBorders>
              <w:top w:val="single" w:sz="4"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rPr>
            </w:pPr>
          </w:p>
        </w:tc>
        <w:tc>
          <w:tcPr>
            <w:tcW w:w="1134" w:type="dxa"/>
            <w:tcBorders>
              <w:top w:val="single" w:sz="4" w:space="0" w:color="auto"/>
              <w:left w:val="single" w:sz="12"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w:t>
            </w:r>
          </w:p>
        </w:tc>
        <w:tc>
          <w:tcPr>
            <w:tcW w:w="1134" w:type="dxa"/>
            <w:tcBorders>
              <w:top w:val="single" w:sz="4" w:space="0" w:color="auto"/>
              <w:bottom w:val="single" w:sz="12" w:space="0" w:color="auto"/>
            </w:tcBorders>
          </w:tcPr>
          <w:p w:rsidR="000A27C9" w:rsidRPr="00830E27" w:rsidRDefault="000A27C9" w:rsidP="00641F17">
            <w:pPr>
              <w:widowControl/>
              <w:jc w:val="center"/>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w:t>
            </w:r>
          </w:p>
        </w:tc>
      </w:tr>
      <w:tr w:rsidR="000A27C9" w:rsidRPr="00830E27" w:rsidTr="00641F17">
        <w:tc>
          <w:tcPr>
            <w:tcW w:w="2126" w:type="dxa"/>
            <w:tcBorders>
              <w:top w:val="single" w:sz="12" w:space="0" w:color="auto"/>
              <w:bottom w:val="single" w:sz="12" w:space="0" w:color="auto"/>
              <w:right w:val="single" w:sz="12" w:space="0" w:color="auto"/>
            </w:tcBorders>
          </w:tcPr>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購買意欲</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再購買意欲</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社会問題意識</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コミュニティー意識</w:t>
            </w:r>
          </w:p>
        </w:tc>
        <w:tc>
          <w:tcPr>
            <w:tcW w:w="1134" w:type="dxa"/>
            <w:tcBorders>
              <w:top w:val="single" w:sz="12" w:space="0" w:color="auto"/>
              <w:left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2.47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1.66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-.97241</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-.82826</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3.30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3.70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-.32029</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-.22062</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4.06</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1.68</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.50828</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.39718</w:t>
            </w:r>
          </w:p>
        </w:tc>
        <w:tc>
          <w:tcPr>
            <w:tcW w:w="1134" w:type="dxa"/>
            <w:tcBorders>
              <w:top w:val="single" w:sz="12" w:space="0" w:color="auto"/>
            </w:tcBorders>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4.34</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4.07</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.90394</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.80303</w:t>
            </w:r>
          </w:p>
        </w:tc>
      </w:tr>
    </w:tbl>
    <w:p w:rsidR="000A27C9" w:rsidRPr="00830E27" w:rsidRDefault="000A27C9" w:rsidP="000A27C9">
      <w:pPr>
        <w:widowControl/>
        <w:jc w:val="left"/>
        <w:rPr>
          <w:rFonts w:asciiTheme="majorEastAsia" w:eastAsiaTheme="majorEastAsia" w:hAnsiTheme="majorEastAsia"/>
          <w:sz w:val="20"/>
          <w:szCs w:val="20"/>
        </w:rPr>
      </w:pPr>
    </w:p>
    <w:p w:rsidR="000A27C9" w:rsidRPr="00830E27" w:rsidRDefault="000A27C9" w:rsidP="000A27C9">
      <w:pPr>
        <w:widowControl/>
        <w:jc w:val="left"/>
        <w:rPr>
          <w:rFonts w:asciiTheme="majorEastAsia" w:eastAsiaTheme="majorEastAsia" w:hAnsiTheme="majorEastAsia"/>
          <w:b/>
          <w:bCs/>
          <w:sz w:val="20"/>
          <w:szCs w:val="20"/>
        </w:rPr>
      </w:pPr>
      <w:r w:rsidRPr="00830E27">
        <w:rPr>
          <w:rFonts w:asciiTheme="majorEastAsia" w:eastAsiaTheme="majorEastAsia" w:hAnsiTheme="majorEastAsia" w:hint="eastAsia"/>
          <w:b/>
          <w:bCs/>
          <w:sz w:val="20"/>
          <w:szCs w:val="20"/>
        </w:rPr>
        <w:t xml:space="preserve">　　各クラスタのケース数</w:t>
      </w:r>
    </w:p>
    <w:tbl>
      <w:tblPr>
        <w:tblStyle w:val="af1"/>
        <w:tblW w:w="0" w:type="auto"/>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59"/>
        <w:gridCol w:w="1276"/>
      </w:tblGrid>
      <w:tr w:rsidR="000A27C9" w:rsidRPr="00830E27" w:rsidTr="00641F17">
        <w:tc>
          <w:tcPr>
            <w:tcW w:w="1559" w:type="dxa"/>
          </w:tcPr>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クラスタ　１</w:t>
            </w:r>
          </w:p>
          <w:p w:rsidR="000A27C9" w:rsidRPr="00830E27" w:rsidRDefault="000A27C9" w:rsidP="00641F17">
            <w:pPr>
              <w:widowControl/>
              <w:jc w:val="lef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 xml:space="preserve">　　　　　２</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rPr>
              <w:t xml:space="preserve">　　　　　</w:t>
            </w:r>
            <w:r w:rsidRPr="00830E27">
              <w:rPr>
                <w:rFonts w:asciiTheme="majorEastAsia" w:eastAsiaTheme="majorEastAsia" w:hAnsiTheme="majorEastAsia" w:hint="eastAsia"/>
                <w:sz w:val="20"/>
                <w:szCs w:val="20"/>
                <w:lang w:eastAsia="zh-TW"/>
              </w:rPr>
              <w:t>３</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 xml:space="preserve">　　　　　４</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最大</w:t>
            </w:r>
          </w:p>
          <w:p w:rsidR="000A27C9" w:rsidRPr="00830E27" w:rsidRDefault="000A27C9" w:rsidP="00641F17">
            <w:pPr>
              <w:widowControl/>
              <w:jc w:val="left"/>
              <w:rPr>
                <w:rFonts w:asciiTheme="majorEastAsia" w:eastAsiaTheme="majorEastAsia" w:hAnsiTheme="majorEastAsia"/>
                <w:sz w:val="20"/>
                <w:szCs w:val="20"/>
                <w:lang w:eastAsia="zh-TW"/>
              </w:rPr>
            </w:pPr>
            <w:r w:rsidRPr="00830E27">
              <w:rPr>
                <w:rFonts w:asciiTheme="majorEastAsia" w:eastAsiaTheme="majorEastAsia" w:hAnsiTheme="majorEastAsia" w:hint="eastAsia"/>
                <w:sz w:val="20"/>
                <w:szCs w:val="20"/>
                <w:lang w:eastAsia="zh-TW"/>
              </w:rPr>
              <w:t>欠損値</w:t>
            </w:r>
          </w:p>
        </w:tc>
        <w:tc>
          <w:tcPr>
            <w:tcW w:w="1276" w:type="dxa"/>
          </w:tcPr>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70.000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67.000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75.000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67.000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279.000</w:t>
            </w:r>
          </w:p>
          <w:p w:rsidR="000A27C9" w:rsidRPr="00830E27" w:rsidRDefault="000A27C9" w:rsidP="00641F17">
            <w:pPr>
              <w:widowControl/>
              <w:jc w:val="right"/>
              <w:rPr>
                <w:rFonts w:asciiTheme="majorEastAsia" w:eastAsiaTheme="majorEastAsia" w:hAnsiTheme="majorEastAsia"/>
                <w:sz w:val="20"/>
                <w:szCs w:val="20"/>
              </w:rPr>
            </w:pPr>
            <w:r w:rsidRPr="00830E27">
              <w:rPr>
                <w:rFonts w:asciiTheme="majorEastAsia" w:eastAsiaTheme="majorEastAsia" w:hAnsiTheme="majorEastAsia" w:hint="eastAsia"/>
                <w:sz w:val="20"/>
                <w:szCs w:val="20"/>
              </w:rPr>
              <w:t>16.000</w:t>
            </w:r>
          </w:p>
        </w:tc>
      </w:tr>
    </w:tbl>
    <w:p w:rsidR="000A27C9" w:rsidRPr="00830E27" w:rsidRDefault="000A27C9" w:rsidP="000A27C9">
      <w:pPr>
        <w:widowControl/>
        <w:jc w:val="left"/>
        <w:rPr>
          <w:sz w:val="20"/>
          <w:szCs w:val="20"/>
        </w:rPr>
      </w:pPr>
    </w:p>
    <w:sectPr w:rsidR="000A27C9" w:rsidRPr="00830E27" w:rsidSect="000A27C9">
      <w:pgSz w:w="11906" w:h="16838" w:code="9"/>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377B2A" w:rsidRDefault="00377B2A" w:rsidP="00377B2A">
      <w:r>
        <w:separator/>
      </w:r>
    </w:p>
  </w:endnote>
  <w:endnote w:type="continuationSeparator" w:id="0">
    <w:p w:rsidR="00377B2A" w:rsidRDefault="00377B2A" w:rsidP="0037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Cordia New">
    <w:panose1 w:val="00000000000000000000"/>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 w:name="Angsana New">
    <w:panose1 w:val="00000000000000000000"/>
    <w:charset w:val="DE"/>
    <w:family w:val="roman"/>
    <w:notTrueType/>
    <w:pitch w:val="variable"/>
    <w:sig w:usb0="01000001" w:usb1="00000000" w:usb2="00000000" w:usb3="00000000" w:csb0="0001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377B2A" w:rsidRDefault="00377B2A" w:rsidP="00377B2A">
      <w:r>
        <w:separator/>
      </w:r>
    </w:p>
  </w:footnote>
  <w:footnote w:type="continuationSeparator" w:id="0">
    <w:p w:rsidR="00377B2A" w:rsidRDefault="00377B2A" w:rsidP="00377B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05215D"/>
    <w:multiLevelType w:val="hybridMultilevel"/>
    <w:tmpl w:val="11380D8E"/>
    <w:lvl w:ilvl="0" w:tplc="6338CDAE">
      <w:start w:val="1"/>
      <w:numFmt w:val="decimal"/>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
    <w:nsid w:val="14F93BD9"/>
    <w:multiLevelType w:val="hybridMultilevel"/>
    <w:tmpl w:val="93DCEE3C"/>
    <w:lvl w:ilvl="0" w:tplc="A320AEC6">
      <w:start w:val="1"/>
      <w:numFmt w:val="decimal"/>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
    <w:nsid w:val="33644D3B"/>
    <w:multiLevelType w:val="hybridMultilevel"/>
    <w:tmpl w:val="C7827114"/>
    <w:lvl w:ilvl="0" w:tplc="A5A05832">
      <w:start w:val="9"/>
      <w:numFmt w:val="bullet"/>
      <w:lvlText w:val="-"/>
      <w:lvlJc w:val="left"/>
      <w:pPr>
        <w:ind w:left="360" w:hanging="360"/>
      </w:pPr>
      <w:rPr>
        <w:rFonts w:ascii="Century" w:eastAsia="ＭＳ 明朝" w:hAnsi="Century" w:cs="Cordia New" w:hint="default"/>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D3145BA"/>
    <w:multiLevelType w:val="hybridMultilevel"/>
    <w:tmpl w:val="023E83C0"/>
    <w:lvl w:ilvl="0" w:tplc="F6E8A6EA">
      <w:start w:val="1"/>
      <w:numFmt w:val="lowerLetter"/>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4">
    <w:nsid w:val="4512136B"/>
    <w:multiLevelType w:val="hybridMultilevel"/>
    <w:tmpl w:val="13A28776"/>
    <w:lvl w:ilvl="0" w:tplc="443C0B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7985A61"/>
    <w:multiLevelType w:val="hybridMultilevel"/>
    <w:tmpl w:val="80105356"/>
    <w:lvl w:ilvl="0" w:tplc="CD3A9F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AB671FD"/>
    <w:multiLevelType w:val="hybridMultilevel"/>
    <w:tmpl w:val="0D8CF37A"/>
    <w:lvl w:ilvl="0" w:tplc="EE02453A">
      <w:start w:val="5"/>
      <w:numFmt w:val="bullet"/>
      <w:lvlText w:val="・"/>
      <w:lvlJc w:val="left"/>
      <w:pPr>
        <w:tabs>
          <w:tab w:val="num" w:pos="360"/>
        </w:tabs>
        <w:ind w:left="360" w:hanging="360"/>
      </w:pPr>
      <w:rPr>
        <w:rFonts w:ascii="ＭＳ 明朝" w:eastAsia="ＭＳ 明朝" w:hAnsi="ＭＳ 明朝" w:cs="Cordia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4BFD7EF8"/>
    <w:multiLevelType w:val="hybridMultilevel"/>
    <w:tmpl w:val="E1F2A0C4"/>
    <w:lvl w:ilvl="0" w:tplc="F73406E6">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43B13BD"/>
    <w:multiLevelType w:val="hybridMultilevel"/>
    <w:tmpl w:val="F5265082"/>
    <w:lvl w:ilvl="0" w:tplc="812CF1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B0C2997"/>
    <w:multiLevelType w:val="hybridMultilevel"/>
    <w:tmpl w:val="5C686B4E"/>
    <w:lvl w:ilvl="0" w:tplc="0CEAF01A">
      <w:start w:val="1"/>
      <w:numFmt w:val="decimal"/>
      <w:lvlText w:val="%1."/>
      <w:lvlJc w:val="left"/>
      <w:pPr>
        <w:ind w:left="570" w:hanging="360"/>
      </w:pPr>
      <w:rPr>
        <w:rFonts w:asciiTheme="minorHAnsi" w:eastAsia="ＭＳ 明朝" w:hAnsiTheme="minorHAnsi" w:cs="Cordia New"/>
        <w:lang w:eastAsia="ja-JP"/>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8"/>
  </w:num>
  <w:num w:numId="2">
    <w:abstractNumId w:val="4"/>
  </w:num>
  <w:num w:numId="3">
    <w:abstractNumId w:val="6"/>
  </w:num>
  <w:num w:numId="4">
    <w:abstractNumId w:val="5"/>
  </w:num>
  <w:num w:numId="5">
    <w:abstractNumId w:val="9"/>
  </w:num>
  <w:num w:numId="6">
    <w:abstractNumId w:val="1"/>
  </w:num>
  <w:num w:numId="7">
    <w:abstractNumId w:val="2"/>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966FA9"/>
    <w:rsid w:val="00025CBD"/>
    <w:rsid w:val="0003634E"/>
    <w:rsid w:val="000A27C9"/>
    <w:rsid w:val="000C041C"/>
    <w:rsid w:val="000F2EDA"/>
    <w:rsid w:val="001912F0"/>
    <w:rsid w:val="001A38B5"/>
    <w:rsid w:val="002F5700"/>
    <w:rsid w:val="00377B2A"/>
    <w:rsid w:val="003B04AC"/>
    <w:rsid w:val="00430435"/>
    <w:rsid w:val="00433A98"/>
    <w:rsid w:val="004F4E56"/>
    <w:rsid w:val="004F782C"/>
    <w:rsid w:val="00527DA3"/>
    <w:rsid w:val="005B5154"/>
    <w:rsid w:val="006556EE"/>
    <w:rsid w:val="006B123F"/>
    <w:rsid w:val="006B496A"/>
    <w:rsid w:val="006C1A17"/>
    <w:rsid w:val="00841A3D"/>
    <w:rsid w:val="00850989"/>
    <w:rsid w:val="0086104A"/>
    <w:rsid w:val="00871037"/>
    <w:rsid w:val="00902551"/>
    <w:rsid w:val="00921B6A"/>
    <w:rsid w:val="00934525"/>
    <w:rsid w:val="00966FA9"/>
    <w:rsid w:val="009B4998"/>
    <w:rsid w:val="00A15D04"/>
    <w:rsid w:val="00A61DBF"/>
    <w:rsid w:val="00A917B2"/>
    <w:rsid w:val="00B23E95"/>
    <w:rsid w:val="00B96437"/>
    <w:rsid w:val="00BD35A1"/>
    <w:rsid w:val="00BE0DA7"/>
    <w:rsid w:val="00C475D7"/>
    <w:rsid w:val="00C971F3"/>
    <w:rsid w:val="00D12496"/>
    <w:rsid w:val="00DF6676"/>
    <w:rsid w:val="00E037B7"/>
    <w:rsid w:val="00E10494"/>
    <w:rsid w:val="00EE2F33"/>
    <w:rsid w:val="00F4245F"/>
    <w:rsid w:val="00FB35D3"/>
    <w:rsid w:val="00FC29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5D04"/>
    <w:pPr>
      <w:ind w:leftChars="400" w:left="840"/>
    </w:pPr>
  </w:style>
  <w:style w:type="paragraph" w:styleId="a4">
    <w:name w:val="header"/>
    <w:basedOn w:val="a"/>
    <w:link w:val="a5"/>
    <w:semiHidden/>
    <w:unhideWhenUsed/>
    <w:rsid w:val="00377B2A"/>
    <w:pPr>
      <w:tabs>
        <w:tab w:val="center" w:pos="4252"/>
        <w:tab w:val="right" w:pos="8504"/>
      </w:tabs>
      <w:snapToGrid w:val="0"/>
    </w:pPr>
  </w:style>
  <w:style w:type="character" w:customStyle="1" w:styleId="a5">
    <w:name w:val="ヘッダー (文字)"/>
    <w:basedOn w:val="a0"/>
    <w:link w:val="a4"/>
    <w:semiHidden/>
    <w:rsid w:val="00377B2A"/>
  </w:style>
  <w:style w:type="paragraph" w:styleId="a6">
    <w:name w:val="footer"/>
    <w:basedOn w:val="a"/>
    <w:link w:val="a7"/>
    <w:uiPriority w:val="99"/>
    <w:unhideWhenUsed/>
    <w:rsid w:val="00377B2A"/>
    <w:pPr>
      <w:tabs>
        <w:tab w:val="center" w:pos="4252"/>
        <w:tab w:val="right" w:pos="8504"/>
      </w:tabs>
      <w:snapToGrid w:val="0"/>
    </w:pPr>
  </w:style>
  <w:style w:type="character" w:customStyle="1" w:styleId="a7">
    <w:name w:val="フッター (文字)"/>
    <w:basedOn w:val="a0"/>
    <w:link w:val="a6"/>
    <w:uiPriority w:val="99"/>
    <w:rsid w:val="00377B2A"/>
  </w:style>
  <w:style w:type="paragraph" w:customStyle="1" w:styleId="1">
    <w:name w:val="リスト段落1"/>
    <w:basedOn w:val="a"/>
    <w:rsid w:val="000A27C9"/>
    <w:pPr>
      <w:ind w:leftChars="400" w:left="840"/>
    </w:pPr>
    <w:rPr>
      <w:rFonts w:ascii="Century" w:eastAsia="ＭＳ 明朝" w:hAnsi="Century" w:cs="Cordia New"/>
    </w:rPr>
  </w:style>
  <w:style w:type="paragraph" w:styleId="Web">
    <w:name w:val="Normal (Web)"/>
    <w:basedOn w:val="a"/>
    <w:semiHidden/>
    <w:rsid w:val="000A27C9"/>
    <w:pPr>
      <w:widowControl/>
      <w:spacing w:before="100" w:beforeAutospacing="1" w:after="100" w:afterAutospacing="1"/>
      <w:jc w:val="left"/>
    </w:pPr>
    <w:rPr>
      <w:rFonts w:ascii="ＭＳ Ｐゴシック" w:eastAsia="ＭＳ Ｐゴシック" w:hAnsi="ＭＳ Ｐゴシック" w:cs="ＭＳ Ｐゴシック"/>
      <w:kern w:val="0"/>
      <w:sz w:val="24"/>
      <w:szCs w:val="24"/>
      <w:lang w:bidi="th-TH"/>
    </w:rPr>
  </w:style>
  <w:style w:type="character" w:styleId="a8">
    <w:name w:val="annotation reference"/>
    <w:basedOn w:val="a0"/>
    <w:semiHidden/>
    <w:rsid w:val="000A27C9"/>
    <w:rPr>
      <w:rFonts w:cs="Times New Roman"/>
      <w:sz w:val="18"/>
      <w:szCs w:val="18"/>
    </w:rPr>
  </w:style>
  <w:style w:type="paragraph" w:styleId="a9">
    <w:name w:val="annotation text"/>
    <w:basedOn w:val="a"/>
    <w:link w:val="aa"/>
    <w:semiHidden/>
    <w:rsid w:val="000A27C9"/>
    <w:pPr>
      <w:jc w:val="left"/>
    </w:pPr>
    <w:rPr>
      <w:rFonts w:ascii="Century" w:eastAsia="ＭＳ 明朝" w:hAnsi="Century" w:cs="Cordia New"/>
    </w:rPr>
  </w:style>
  <w:style w:type="character" w:customStyle="1" w:styleId="aa">
    <w:name w:val="コメント文字列 (文字)"/>
    <w:basedOn w:val="a0"/>
    <w:link w:val="a9"/>
    <w:semiHidden/>
    <w:rsid w:val="000A27C9"/>
    <w:rPr>
      <w:rFonts w:ascii="Century" w:eastAsia="ＭＳ 明朝" w:hAnsi="Century" w:cs="Cordia New"/>
    </w:rPr>
  </w:style>
  <w:style w:type="paragraph" w:styleId="ab">
    <w:name w:val="annotation subject"/>
    <w:basedOn w:val="a9"/>
    <w:next w:val="a9"/>
    <w:link w:val="ac"/>
    <w:semiHidden/>
    <w:rsid w:val="000A27C9"/>
    <w:rPr>
      <w:b/>
      <w:bCs/>
    </w:rPr>
  </w:style>
  <w:style w:type="character" w:customStyle="1" w:styleId="ac">
    <w:name w:val="コメント内容 (文字)"/>
    <w:basedOn w:val="aa"/>
    <w:link w:val="ab"/>
    <w:semiHidden/>
    <w:rsid w:val="000A27C9"/>
    <w:rPr>
      <w:rFonts w:ascii="Century" w:eastAsia="ＭＳ 明朝" w:hAnsi="Century" w:cs="Cordia New"/>
      <w:b/>
      <w:bCs/>
    </w:rPr>
  </w:style>
  <w:style w:type="paragraph" w:styleId="ad">
    <w:name w:val="Balloon Text"/>
    <w:basedOn w:val="a"/>
    <w:link w:val="ae"/>
    <w:semiHidden/>
    <w:rsid w:val="000A27C9"/>
    <w:rPr>
      <w:rFonts w:ascii="Arial" w:eastAsia="ＭＳ ゴシック" w:hAnsi="Arial" w:cs="Angsana New"/>
      <w:sz w:val="18"/>
      <w:szCs w:val="18"/>
    </w:rPr>
  </w:style>
  <w:style w:type="character" w:customStyle="1" w:styleId="ae">
    <w:name w:val="吹き出し (文字)"/>
    <w:basedOn w:val="a0"/>
    <w:link w:val="ad"/>
    <w:semiHidden/>
    <w:rsid w:val="000A27C9"/>
    <w:rPr>
      <w:rFonts w:ascii="Arial" w:eastAsia="ＭＳ ゴシック" w:hAnsi="Arial" w:cs="Angsana New"/>
      <w:sz w:val="18"/>
      <w:szCs w:val="18"/>
    </w:rPr>
  </w:style>
  <w:style w:type="paragraph" w:styleId="af">
    <w:name w:val="Closing"/>
    <w:basedOn w:val="a"/>
    <w:link w:val="af0"/>
    <w:rsid w:val="000A27C9"/>
    <w:pPr>
      <w:jc w:val="right"/>
    </w:pPr>
    <w:rPr>
      <w:rFonts w:ascii="Century" w:eastAsia="ＭＳ 明朝" w:hAnsi="Century" w:cs="Cordia New"/>
    </w:rPr>
  </w:style>
  <w:style w:type="character" w:customStyle="1" w:styleId="af0">
    <w:name w:val="結語 (文字)"/>
    <w:basedOn w:val="a0"/>
    <w:link w:val="af"/>
    <w:rsid w:val="000A27C9"/>
    <w:rPr>
      <w:rFonts w:ascii="Century" w:eastAsia="ＭＳ 明朝" w:hAnsi="Century" w:cs="Cordia New"/>
    </w:rPr>
  </w:style>
  <w:style w:type="table" w:styleId="af1">
    <w:name w:val="Table Grid"/>
    <w:basedOn w:val="a1"/>
    <w:uiPriority w:val="59"/>
    <w:rsid w:val="000A2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5E0A9-8DA8-774A-9AD2-22C14EEB3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578</Words>
  <Characters>3297</Characters>
  <Application>Microsoft Macintosh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青山学院大学</Company>
  <LinksUpToDate>false</LinksUpToDate>
  <CharactersWithSpaces>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profman</dc:creator>
  <cp:lastModifiedBy>Tsuchihashi Haruko</cp:lastModifiedBy>
  <cp:revision>2</cp:revision>
  <dcterms:created xsi:type="dcterms:W3CDTF">2011-12-18T10:05:00Z</dcterms:created>
  <dcterms:modified xsi:type="dcterms:W3CDTF">2011-12-18T10:05:00Z</dcterms:modified>
</cp:coreProperties>
</file>